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5B" w:rsidRDefault="00487C31" w:rsidP="0018275B">
      <w:pPr>
        <w:jc w:val="center"/>
      </w:pPr>
      <w:r>
        <w:t xml:space="preserve">GUIDELINES FOR </w:t>
      </w:r>
      <w:r w:rsidR="0018275B">
        <w:t xml:space="preserve">HUMAN SUBJECT </w:t>
      </w:r>
      <w:r w:rsidR="004968EB">
        <w:t>RESEARCH COLLABORATIONS</w:t>
      </w:r>
    </w:p>
    <w:p w:rsidR="00924D79" w:rsidRDefault="00A13B3C" w:rsidP="0018275B">
      <w:pPr>
        <w:jc w:val="center"/>
      </w:pPr>
      <w:r>
        <w:t xml:space="preserve">THE </w:t>
      </w:r>
      <w:r w:rsidR="00FB41A6">
        <w:t>J</w:t>
      </w:r>
      <w:r w:rsidR="00754BF4">
        <w:t>ACKSON LABORATORY</w:t>
      </w:r>
      <w:r w:rsidR="00487C31">
        <w:t xml:space="preserve"> A</w:t>
      </w:r>
      <w:r w:rsidR="0018275B">
        <w:t>ND</w:t>
      </w:r>
      <w:r w:rsidR="00487C31">
        <w:t xml:space="preserve"> UC</w:t>
      </w:r>
      <w:r w:rsidR="004968EB">
        <w:t>ONN HEALTH</w:t>
      </w:r>
    </w:p>
    <w:p w:rsidR="00487C31" w:rsidRPr="0018275B" w:rsidRDefault="0018275B">
      <w:pPr>
        <w:rPr>
          <w:b/>
          <w:u w:val="single"/>
        </w:rPr>
      </w:pPr>
      <w:r w:rsidRPr="0018275B">
        <w:rPr>
          <w:b/>
          <w:u w:val="single"/>
        </w:rPr>
        <w:t>BACKGROUND</w:t>
      </w:r>
    </w:p>
    <w:p w:rsidR="0018275B" w:rsidRDefault="002C07A4" w:rsidP="00487C31">
      <w:r>
        <w:t>There is an expectation that UConn Health and</w:t>
      </w:r>
      <w:r w:rsidR="00FB41A6">
        <w:t xml:space="preserve"> The</w:t>
      </w:r>
      <w:r>
        <w:t xml:space="preserve"> </w:t>
      </w:r>
      <w:r w:rsidR="00FB41A6">
        <w:t>Jackson Laboratory</w:t>
      </w:r>
      <w:r w:rsidR="00A13B3C">
        <w:t xml:space="preserve"> (JAX) </w:t>
      </w:r>
      <w:r>
        <w:t>personnel will collaborate often on human subject research projects.  As such</w:t>
      </w:r>
      <w:r w:rsidR="00A13B3C">
        <w:t>,</w:t>
      </w:r>
      <w:r>
        <w:t xml:space="preserve"> an IRB Reliance agreement has been established whereby </w:t>
      </w:r>
      <w:r w:rsidR="00A13B3C">
        <w:t>JAX</w:t>
      </w:r>
      <w:r>
        <w:t xml:space="preserve"> may rely upon the IRB of UConn Health.   </w:t>
      </w:r>
    </w:p>
    <w:p w:rsidR="00FB41A6" w:rsidRDefault="00FB41A6" w:rsidP="00FB41A6">
      <w:r>
        <w:t xml:space="preserve">UConn Health is a covered entity under HIPAA whereas </w:t>
      </w:r>
      <w:r w:rsidR="00A13B3C">
        <w:t>JAX</w:t>
      </w:r>
      <w:r>
        <w:t xml:space="preserve"> on the UConn Health campus is considered a hybrid entity under HIPAA.  Within </w:t>
      </w:r>
      <w:r w:rsidR="00A13B3C">
        <w:t>JAX</w:t>
      </w:r>
      <w:r>
        <w:t xml:space="preserve">, the </w:t>
      </w:r>
      <w:r w:rsidR="00A13B3C">
        <w:t>C</w:t>
      </w:r>
      <w:r>
        <w:t xml:space="preserve">linical </w:t>
      </w:r>
      <w:r w:rsidR="00A13B3C">
        <w:t>G</w:t>
      </w:r>
      <w:r>
        <w:t xml:space="preserve">enomics </w:t>
      </w:r>
      <w:r w:rsidR="00542ABB" w:rsidRPr="00542ABB">
        <w:t xml:space="preserve">(CLIA) </w:t>
      </w:r>
      <w:r w:rsidR="00A13B3C">
        <w:t xml:space="preserve">Laboratory </w:t>
      </w:r>
      <w:r>
        <w:t xml:space="preserve">service is a revenue-generating operation and a covered entity under HIPAA.  </w:t>
      </w:r>
      <w:r w:rsidR="00A13B3C">
        <w:t>JAX</w:t>
      </w:r>
      <w:r>
        <w:t xml:space="preserve"> will be developing Business Associate Agreements (BAAs) with various hospitals in the area to address HIPAA as related to the clinical genomics service.  The research portion of </w:t>
      </w:r>
      <w:r w:rsidR="00A13B3C">
        <w:t>JAX</w:t>
      </w:r>
      <w:r>
        <w:t xml:space="preserve"> is not a covered entity under HIPAA.  </w:t>
      </w:r>
      <w:r w:rsidR="00A13B3C">
        <w:t>JAX</w:t>
      </w:r>
      <w:r>
        <w:t xml:space="preserve"> will establish a firewall between the clinical portion of the company (the covered entity portion) and the research portion of the company (the non-covered entity).   </w:t>
      </w:r>
    </w:p>
    <w:p w:rsidR="00487C31" w:rsidRDefault="00487C31" w:rsidP="00487C31">
      <w:r>
        <w:t xml:space="preserve">UConn Health and </w:t>
      </w:r>
      <w:r w:rsidR="00A13B3C">
        <w:t>JAX</w:t>
      </w:r>
      <w:r>
        <w:t xml:space="preserve"> have worked together to establish the following guidelines for addressing HIPAA </w:t>
      </w:r>
      <w:r w:rsidR="002C07A4">
        <w:t>and other issues related to</w:t>
      </w:r>
      <w:r>
        <w:t xml:space="preserve"> human subject research studies</w:t>
      </w:r>
      <w:r w:rsidR="004968EB">
        <w:t xml:space="preserve"> that are done in collaboration. </w:t>
      </w:r>
    </w:p>
    <w:p w:rsidR="00AD5835" w:rsidRDefault="002C07A4" w:rsidP="00487C31">
      <w:pPr>
        <w:rPr>
          <w:b/>
          <w:u w:val="single"/>
        </w:rPr>
      </w:pPr>
      <w:r w:rsidRPr="002C07A4">
        <w:rPr>
          <w:b/>
          <w:u w:val="single"/>
        </w:rPr>
        <w:t>GUIDELINES</w:t>
      </w:r>
    </w:p>
    <w:p w:rsidR="00E7004F" w:rsidRPr="00E7004F" w:rsidRDefault="00E7004F" w:rsidP="00E7004F">
      <w:pPr>
        <w:rPr>
          <w:b/>
          <w:u w:val="single"/>
        </w:rPr>
      </w:pPr>
      <w:r w:rsidRPr="00E7004F">
        <w:t>In all cases</w:t>
      </w:r>
      <w:r>
        <w:t xml:space="preserve"> in which </w:t>
      </w:r>
      <w:r w:rsidR="00A13B3C">
        <w:t>JAX</w:t>
      </w:r>
      <w:r>
        <w:t xml:space="preserve"> is involved in any capacity with a human subject research study (e.g. providing funding </w:t>
      </w:r>
      <w:r w:rsidR="00971C52">
        <w:t>and/</w:t>
      </w:r>
      <w:r>
        <w:t>or services)</w:t>
      </w:r>
      <w:r w:rsidRPr="0018275B">
        <w:t>,</w:t>
      </w:r>
      <w:r w:rsidR="004633A1">
        <w:t>"</w:t>
      </w:r>
      <w:r w:rsidRPr="0018275B">
        <w:t xml:space="preserve"> </w:t>
      </w:r>
      <w:r w:rsidR="00FB41A6">
        <w:rPr>
          <w:b/>
        </w:rPr>
        <w:t>Jackson</w:t>
      </w:r>
      <w:r w:rsidRPr="00E7004F">
        <w:rPr>
          <w:b/>
        </w:rPr>
        <w:t xml:space="preserve"> Labs</w:t>
      </w:r>
      <w:r w:rsidR="004633A1">
        <w:rPr>
          <w:b/>
        </w:rPr>
        <w:t>"</w:t>
      </w:r>
      <w:r w:rsidRPr="00E7004F">
        <w:rPr>
          <w:b/>
        </w:rPr>
        <w:t xml:space="preserve"> is </w:t>
      </w:r>
      <w:r w:rsidR="0018275B">
        <w:rPr>
          <w:b/>
        </w:rPr>
        <w:t xml:space="preserve">to be </w:t>
      </w:r>
      <w:r w:rsidRPr="00E7004F">
        <w:rPr>
          <w:b/>
        </w:rPr>
        <w:t xml:space="preserve">noted in the </w:t>
      </w:r>
      <w:r w:rsidR="009B1B3C" w:rsidRPr="00E7004F">
        <w:rPr>
          <w:b/>
        </w:rPr>
        <w:t>Administrative Oversight</w:t>
      </w:r>
      <w:r w:rsidR="009B1B3C">
        <w:rPr>
          <w:b/>
        </w:rPr>
        <w:t xml:space="preserve"> section of the </w:t>
      </w:r>
      <w:r w:rsidRPr="00E7004F">
        <w:rPr>
          <w:b/>
        </w:rPr>
        <w:t xml:space="preserve">Key Study Personnel section of the IRB Application </w:t>
      </w:r>
      <w:r>
        <w:t xml:space="preserve">.  This </w:t>
      </w:r>
      <w:r w:rsidR="0018275B">
        <w:t xml:space="preserve">designation </w:t>
      </w:r>
      <w:r>
        <w:t xml:space="preserve">allows for </w:t>
      </w:r>
      <w:r w:rsidR="00A13B3C">
        <w:t>JAX</w:t>
      </w:r>
      <w:r>
        <w:t xml:space="preserve"> administrators to maintain a listing of all studies with which </w:t>
      </w:r>
      <w:r w:rsidR="00A13B3C">
        <w:t>JAX</w:t>
      </w:r>
      <w:r>
        <w:t xml:space="preserve"> </w:t>
      </w:r>
      <w:r w:rsidR="00567B2C">
        <w:t>is involved</w:t>
      </w:r>
      <w:r>
        <w:t xml:space="preserve">. </w:t>
      </w:r>
    </w:p>
    <w:p w:rsidR="007721C7" w:rsidRPr="007721C7" w:rsidRDefault="007721C7" w:rsidP="004968EB">
      <w:pPr>
        <w:rPr>
          <w:b/>
          <w:u w:val="single"/>
        </w:rPr>
      </w:pPr>
      <w:r w:rsidRPr="007721C7">
        <w:rPr>
          <w:b/>
          <w:u w:val="single"/>
        </w:rPr>
        <w:t xml:space="preserve">A:  </w:t>
      </w:r>
      <w:r w:rsidR="009B1B3C">
        <w:rPr>
          <w:b/>
          <w:u w:val="single"/>
        </w:rPr>
        <w:t>Collaborating</w:t>
      </w:r>
      <w:r w:rsidRPr="007721C7">
        <w:rPr>
          <w:b/>
          <w:u w:val="single"/>
        </w:rPr>
        <w:t xml:space="preserve"> with </w:t>
      </w:r>
      <w:r w:rsidR="002B15F7">
        <w:rPr>
          <w:b/>
          <w:u w:val="single"/>
        </w:rPr>
        <w:t>Investigators from</w:t>
      </w:r>
      <w:r w:rsidR="00A13B3C">
        <w:rPr>
          <w:b/>
          <w:u w:val="single"/>
        </w:rPr>
        <w:t xml:space="preserve"> </w:t>
      </w:r>
      <w:r w:rsidR="004633A1">
        <w:rPr>
          <w:b/>
          <w:u w:val="single"/>
        </w:rPr>
        <w:t>JAX</w:t>
      </w:r>
    </w:p>
    <w:p w:rsidR="004968EB" w:rsidRPr="002C4E38" w:rsidRDefault="00567B2C" w:rsidP="004968EB">
      <w:pPr>
        <w:rPr>
          <w:b/>
        </w:rPr>
      </w:pPr>
      <w:r>
        <w:rPr>
          <w:b/>
        </w:rPr>
        <w:t xml:space="preserve">1.  </w:t>
      </w:r>
      <w:r w:rsidR="004968EB" w:rsidRPr="002C4E38">
        <w:rPr>
          <w:b/>
        </w:rPr>
        <w:t>DOCUMENT</w:t>
      </w:r>
      <w:r w:rsidR="008C4155">
        <w:rPr>
          <w:b/>
        </w:rPr>
        <w:t>S</w:t>
      </w:r>
      <w:r w:rsidR="004968EB" w:rsidRPr="002C4E38">
        <w:rPr>
          <w:b/>
        </w:rPr>
        <w:t xml:space="preserve">:  </w:t>
      </w:r>
      <w:r w:rsidR="008C4155">
        <w:rPr>
          <w:b/>
        </w:rPr>
        <w:t>Informed Consent</w:t>
      </w:r>
      <w:r>
        <w:rPr>
          <w:b/>
        </w:rPr>
        <w:t xml:space="preserve"> Form</w:t>
      </w:r>
      <w:r w:rsidR="008C4155">
        <w:rPr>
          <w:b/>
        </w:rPr>
        <w:t xml:space="preserve">, HIPAA </w:t>
      </w:r>
      <w:r w:rsidR="004968EB" w:rsidRPr="002C4E38">
        <w:rPr>
          <w:b/>
        </w:rPr>
        <w:t>Authorization</w:t>
      </w:r>
      <w:r w:rsidR="008C4155">
        <w:rPr>
          <w:b/>
        </w:rPr>
        <w:t xml:space="preserve">, IRB Application </w:t>
      </w:r>
    </w:p>
    <w:p w:rsidR="004968EB" w:rsidRDefault="004968EB" w:rsidP="002C4E38">
      <w:pPr>
        <w:ind w:left="360"/>
      </w:pPr>
      <w:r w:rsidRPr="002C4E38">
        <w:rPr>
          <w:i/>
        </w:rPr>
        <w:t>WHEN TO USE</w:t>
      </w:r>
      <w:r>
        <w:t xml:space="preserve">:  </w:t>
      </w:r>
      <w:r w:rsidRPr="004968EB">
        <w:rPr>
          <w:b/>
        </w:rPr>
        <w:t>Identifiable</w:t>
      </w:r>
      <w:r w:rsidR="00933ED4">
        <w:rPr>
          <w:b/>
        </w:rPr>
        <w:t>*</w:t>
      </w:r>
      <w:r>
        <w:t xml:space="preserve"> health information </w:t>
      </w:r>
      <w:r w:rsidR="0018275B">
        <w:t>will be</w:t>
      </w:r>
      <w:r>
        <w:t xml:space="preserve"> </w:t>
      </w:r>
      <w:r w:rsidR="009B1B3C">
        <w:t xml:space="preserve">collected as part of the study and the IRB application includes </w:t>
      </w:r>
      <w:r w:rsidR="00A13B3C">
        <w:t>JAX</w:t>
      </w:r>
      <w:r>
        <w:t xml:space="preserve"> investigators</w:t>
      </w:r>
      <w:r w:rsidR="009B1B3C">
        <w:t xml:space="preserve">.  In most cases if informed consent is being sought from a potential subject a HIPAA Authorization will also be obtained. </w:t>
      </w:r>
    </w:p>
    <w:p w:rsidR="002C07A4" w:rsidRDefault="004968EB" w:rsidP="002C4E38">
      <w:pPr>
        <w:spacing w:after="0" w:line="240" w:lineRule="auto"/>
        <w:ind w:left="360"/>
      </w:pPr>
      <w:r w:rsidRPr="002C4E38">
        <w:rPr>
          <w:i/>
        </w:rPr>
        <w:t>HOW TO IMPLEMEMT</w:t>
      </w:r>
      <w:r w:rsidR="002C07A4">
        <w:t xml:space="preserve">:  </w:t>
      </w:r>
    </w:p>
    <w:p w:rsidR="008C4155" w:rsidRDefault="008C4155" w:rsidP="002C4E38">
      <w:pPr>
        <w:pStyle w:val="ListParagraph"/>
        <w:numPr>
          <w:ilvl w:val="0"/>
          <w:numId w:val="11"/>
        </w:numPr>
        <w:ind w:left="1170"/>
      </w:pPr>
      <w:r>
        <w:t xml:space="preserve">Consent:  </w:t>
      </w:r>
    </w:p>
    <w:p w:rsidR="008C4155" w:rsidRDefault="008C4155" w:rsidP="003D5F89">
      <w:pPr>
        <w:pStyle w:val="ListParagraph"/>
        <w:numPr>
          <w:ilvl w:val="1"/>
          <w:numId w:val="11"/>
        </w:numPr>
      </w:pPr>
      <w:r>
        <w:t xml:space="preserve">The consent form addresses the functions that </w:t>
      </w:r>
      <w:r w:rsidR="00A13B3C">
        <w:t>JAX</w:t>
      </w:r>
      <w:r>
        <w:t xml:space="preserve"> will perform (e.g. your coded tissue sample will be provided </w:t>
      </w:r>
      <w:r w:rsidR="00A13B3C">
        <w:t>to The</w:t>
      </w:r>
      <w:r w:rsidR="001F09EE">
        <w:t xml:space="preserve"> </w:t>
      </w:r>
      <w:r>
        <w:t>Jackson Lab</w:t>
      </w:r>
      <w:r w:rsidR="00A13B3C">
        <w:t>oratory</w:t>
      </w:r>
      <w:r>
        <w:t xml:space="preserve"> where a variety of genomic assays (tests) will be done to investigate </w:t>
      </w:r>
      <w:proofErr w:type="gramStart"/>
      <w:r>
        <w:t>whether  XXXX</w:t>
      </w:r>
      <w:proofErr w:type="gramEnd"/>
      <w:r>
        <w:t xml:space="preserve">…..). </w:t>
      </w:r>
    </w:p>
    <w:p w:rsidR="008C4155" w:rsidRDefault="008C4155" w:rsidP="003D5F89">
      <w:pPr>
        <w:pStyle w:val="ListParagraph"/>
        <w:numPr>
          <w:ilvl w:val="1"/>
          <w:numId w:val="11"/>
        </w:numPr>
      </w:pPr>
      <w:r>
        <w:t xml:space="preserve">The confidentiality section of the consent form accurately describes how information will be provided to </w:t>
      </w:r>
      <w:r w:rsidR="00A13B3C">
        <w:t>JAX</w:t>
      </w:r>
      <w:r>
        <w:t xml:space="preserve"> and that there is a chance for identification of the individual (e.g. While only coded samples will be provided to </w:t>
      </w:r>
      <w:r w:rsidR="00A13B3C">
        <w:t>JAX</w:t>
      </w:r>
      <w:r>
        <w:t xml:space="preserve">, because the study team works so closely together there is a chance that as the progress of the research is discussed your identity may become known to the investigators from </w:t>
      </w:r>
      <w:proofErr w:type="gramStart"/>
      <w:r w:rsidR="00A13B3C">
        <w:t>JAX</w:t>
      </w:r>
      <w:r>
        <w:t xml:space="preserve"> .</w:t>
      </w:r>
      <w:proofErr w:type="gramEnd"/>
      <w:r>
        <w:t xml:space="preserve">  </w:t>
      </w:r>
      <w:r w:rsidR="00A13B3C">
        <w:t>JAX</w:t>
      </w:r>
      <w:r>
        <w:t xml:space="preserve"> employees are obligated to keep that information confidential.") </w:t>
      </w:r>
    </w:p>
    <w:p w:rsidR="008C4155" w:rsidRDefault="008C4155" w:rsidP="003D5F89">
      <w:pPr>
        <w:pStyle w:val="ListParagraph"/>
        <w:ind w:left="1980"/>
      </w:pPr>
    </w:p>
    <w:p w:rsidR="00A861A1" w:rsidRDefault="00A861A1" w:rsidP="003D5F89">
      <w:pPr>
        <w:pStyle w:val="ListParagraph"/>
        <w:ind w:left="1980"/>
      </w:pPr>
    </w:p>
    <w:p w:rsidR="00A861A1" w:rsidRDefault="00A861A1" w:rsidP="003D5F89">
      <w:pPr>
        <w:pStyle w:val="ListParagraph"/>
        <w:ind w:left="1980"/>
      </w:pPr>
    </w:p>
    <w:p w:rsidR="008C4155" w:rsidRDefault="008C4155" w:rsidP="002C4E38">
      <w:pPr>
        <w:pStyle w:val="ListParagraph"/>
        <w:numPr>
          <w:ilvl w:val="0"/>
          <w:numId w:val="11"/>
        </w:numPr>
        <w:ind w:left="1170"/>
      </w:pPr>
      <w:r>
        <w:lastRenderedPageBreak/>
        <w:t>Authorization:</w:t>
      </w:r>
    </w:p>
    <w:p w:rsidR="002C07A4" w:rsidRDefault="00A13B3C" w:rsidP="003D5F89">
      <w:pPr>
        <w:pStyle w:val="ListParagraph"/>
        <w:numPr>
          <w:ilvl w:val="1"/>
          <w:numId w:val="11"/>
        </w:numPr>
      </w:pPr>
      <w:r>
        <w:t xml:space="preserve">The </w:t>
      </w:r>
      <w:r w:rsidR="00FB41A6">
        <w:t>Jackson</w:t>
      </w:r>
      <w:r w:rsidR="002C07A4">
        <w:t xml:space="preserve"> </w:t>
      </w:r>
      <w:r w:rsidR="009B1B3C">
        <w:t>Lab</w:t>
      </w:r>
      <w:r>
        <w:t>oratory i</w:t>
      </w:r>
      <w:r w:rsidR="009B1B3C">
        <w:t xml:space="preserve">s </w:t>
      </w:r>
      <w:r w:rsidR="002C07A4">
        <w:t>listed on the Authorization</w:t>
      </w:r>
      <w:r w:rsidR="009B1B3C">
        <w:t xml:space="preserve"> under the section titled "People/Offices That Will Have Access to Your Information"</w:t>
      </w:r>
      <w:r w:rsidR="002C07A4">
        <w:t xml:space="preserve"> as an entity to which</w:t>
      </w:r>
      <w:r w:rsidR="00AD5835">
        <w:t xml:space="preserve"> information </w:t>
      </w:r>
      <w:r w:rsidR="009B1B3C">
        <w:t xml:space="preserve">may </w:t>
      </w:r>
      <w:r w:rsidR="00AD5835">
        <w:t>be disclosed</w:t>
      </w:r>
    </w:p>
    <w:p w:rsidR="009B1B3C" w:rsidRDefault="009B1B3C" w:rsidP="003D5F89">
      <w:pPr>
        <w:pStyle w:val="ListParagraph"/>
        <w:numPr>
          <w:ilvl w:val="2"/>
          <w:numId w:val="11"/>
        </w:numPr>
      </w:pPr>
      <w:r>
        <w:t xml:space="preserve">Listing </w:t>
      </w:r>
      <w:r w:rsidR="00A13B3C">
        <w:t>JAX</w:t>
      </w:r>
      <w:r>
        <w:t xml:space="preserve"> in this section does not mean that </w:t>
      </w:r>
      <w:r w:rsidR="00A13B3C">
        <w:t>JAX</w:t>
      </w:r>
      <w:r>
        <w:t xml:space="preserve"> has to receive all of the protected health information noted in the authorization.  The protocol </w:t>
      </w:r>
      <w:r w:rsidR="000E6C93">
        <w:t xml:space="preserve">and consent </w:t>
      </w:r>
      <w:r>
        <w:t xml:space="preserve">may still note that only coded information will be sent to </w:t>
      </w:r>
      <w:r w:rsidR="00A13B3C">
        <w:t>JAX</w:t>
      </w:r>
      <w:r>
        <w:t xml:space="preserve">.  However, because of the close nature of the collaborations and discussions that occur among the study team, </w:t>
      </w:r>
      <w:r w:rsidR="00A13B3C">
        <w:t>JAX</w:t>
      </w:r>
      <w:r>
        <w:t xml:space="preserve"> is required to be listed in this section.</w:t>
      </w:r>
    </w:p>
    <w:p w:rsidR="00011F49" w:rsidRDefault="00011F49" w:rsidP="002C4E38">
      <w:pPr>
        <w:pStyle w:val="ListParagraph"/>
        <w:numPr>
          <w:ilvl w:val="0"/>
          <w:numId w:val="11"/>
        </w:numPr>
        <w:ind w:left="1170"/>
      </w:pPr>
      <w:r>
        <w:t>IRB Application:</w:t>
      </w:r>
    </w:p>
    <w:p w:rsidR="002C07A4" w:rsidRDefault="00011F49" w:rsidP="003D5F89">
      <w:pPr>
        <w:pStyle w:val="ListParagraph"/>
        <w:numPr>
          <w:ilvl w:val="1"/>
          <w:numId w:val="11"/>
        </w:numPr>
      </w:pPr>
      <w:r>
        <w:t xml:space="preserve">In the Key Study Personnel (KSP) section of the application, </w:t>
      </w:r>
      <w:r w:rsidR="00A13B3C">
        <w:t>JAX</w:t>
      </w:r>
      <w:r w:rsidR="002C07A4">
        <w:t xml:space="preserve"> investigators are named </w:t>
      </w:r>
      <w:r w:rsidR="009B1B3C">
        <w:t xml:space="preserve">individually </w:t>
      </w:r>
    </w:p>
    <w:p w:rsidR="00DB1029" w:rsidRDefault="00011F49" w:rsidP="003D5F89">
      <w:pPr>
        <w:pStyle w:val="ListParagraph"/>
        <w:numPr>
          <w:ilvl w:val="1"/>
          <w:numId w:val="11"/>
        </w:numPr>
      </w:pPr>
      <w:r>
        <w:t xml:space="preserve">On the KSP page in the area designated for Administrative Oversight </w:t>
      </w:r>
      <w:r w:rsidR="004633A1">
        <w:t>"</w:t>
      </w:r>
      <w:r w:rsidR="00DA380E">
        <w:t>Jackson Labs</w:t>
      </w:r>
      <w:r w:rsidR="004633A1">
        <w:t>"</w:t>
      </w:r>
      <w:r w:rsidR="005138DE" w:rsidRPr="00A861A1">
        <w:rPr>
          <w:vertAlign w:val="superscript"/>
        </w:rPr>
        <w:t>1</w:t>
      </w:r>
      <w:r>
        <w:t xml:space="preserve"> is listed.  This allows for </w:t>
      </w:r>
      <w:r w:rsidR="00A13B3C">
        <w:t>JAX</w:t>
      </w:r>
      <w:r>
        <w:t xml:space="preserve"> administrators to maintain a listing of all studies with which </w:t>
      </w:r>
      <w:r w:rsidR="00A13B3C">
        <w:t>JAX</w:t>
      </w:r>
      <w:r>
        <w:t xml:space="preserve"> is involved.</w:t>
      </w:r>
      <w:r w:rsidR="00A13B3C">
        <w:t xml:space="preserve"> </w:t>
      </w:r>
    </w:p>
    <w:p w:rsidR="004968EB" w:rsidRDefault="00A13B3C" w:rsidP="003D5F89">
      <w:pPr>
        <w:pStyle w:val="ListParagraph"/>
        <w:numPr>
          <w:ilvl w:val="1"/>
          <w:numId w:val="11"/>
        </w:numPr>
      </w:pPr>
      <w:r>
        <w:t xml:space="preserve"> </w:t>
      </w:r>
      <w:r w:rsidR="00011F49">
        <w:t xml:space="preserve">Indicate </w:t>
      </w:r>
      <w:proofErr w:type="gramStart"/>
      <w:r w:rsidR="00011F49">
        <w:t>Yes</w:t>
      </w:r>
      <w:proofErr w:type="gramEnd"/>
      <w:r w:rsidR="00011F49">
        <w:t xml:space="preserve"> that collaborating sites are involved and then add </w:t>
      </w:r>
      <w:r>
        <w:t>JAX</w:t>
      </w:r>
      <w:r w:rsidR="002C07A4">
        <w:t xml:space="preserve"> </w:t>
      </w:r>
      <w:r w:rsidR="00011F49">
        <w:t>in the</w:t>
      </w:r>
      <w:r w:rsidR="00AD5835">
        <w:t xml:space="preserve"> collaborating site</w:t>
      </w:r>
      <w:r w:rsidR="00011F49">
        <w:t>s section, describing their role in the study accordingly</w:t>
      </w:r>
      <w:r w:rsidR="004633A1">
        <w:t xml:space="preserve">.  (Note, end user to select "Other" from the drop down list and then type in JAX where asked to describe "Other") </w:t>
      </w:r>
    </w:p>
    <w:p w:rsidR="007721C7" w:rsidRDefault="008C4155" w:rsidP="00011F49">
      <w:pPr>
        <w:pStyle w:val="ListParagraph"/>
        <w:numPr>
          <w:ilvl w:val="1"/>
          <w:numId w:val="11"/>
        </w:numPr>
      </w:pPr>
      <w:r>
        <w:t>If</w:t>
      </w:r>
      <w:r w:rsidR="007721C7">
        <w:t xml:space="preserve"> </w:t>
      </w:r>
      <w:r w:rsidR="00A13B3C">
        <w:t>JAX</w:t>
      </w:r>
      <w:r w:rsidR="007721C7">
        <w:t xml:space="preserve"> is providing any funding </w:t>
      </w:r>
      <w:r w:rsidR="00DA380E">
        <w:t>Jackson Laboratory</w:t>
      </w:r>
      <w:r w:rsidR="008073B3" w:rsidRPr="006B4128">
        <w:rPr>
          <w:vertAlign w:val="superscript"/>
        </w:rPr>
        <w:t>1</w:t>
      </w:r>
      <w:r w:rsidR="00DA380E">
        <w:t xml:space="preserve"> </w:t>
      </w:r>
      <w:r w:rsidR="007721C7">
        <w:t xml:space="preserve">is </w:t>
      </w:r>
      <w:r w:rsidR="00D11F52">
        <w:t>n</w:t>
      </w:r>
      <w:r w:rsidR="007721C7">
        <w:t xml:space="preserve">oted in the application as a </w:t>
      </w:r>
      <w:r w:rsidR="005138DE">
        <w:t xml:space="preserve">funding source </w:t>
      </w:r>
    </w:p>
    <w:p w:rsidR="00DA380E" w:rsidRDefault="00DA380E" w:rsidP="00A861A1">
      <w:pPr>
        <w:pStyle w:val="ListParagraph"/>
        <w:numPr>
          <w:ilvl w:val="2"/>
          <w:numId w:val="11"/>
        </w:numPr>
      </w:pPr>
      <w:r>
        <w:t>If JAX is the recipient of a federal award and providing funding to UConn Health through a sub-award, both the federal agency and Jackson Laboratory are added as funding source</w:t>
      </w:r>
      <w:r w:rsidR="00DB1029">
        <w:t xml:space="preserve"> and a copy of the federal award is attached to the IRB submission.  Both the JAX award number and UConn Health sub-award number should be added to the IRB application so that both JAX and </w:t>
      </w:r>
      <w:r w:rsidR="00834EC7">
        <w:t xml:space="preserve">UConn Health Office of Research and Sponsored Programs can link the IRB approval to the grant award. </w:t>
      </w:r>
    </w:p>
    <w:p w:rsidR="004968EB" w:rsidRPr="004968EB" w:rsidRDefault="004968EB" w:rsidP="002C4E38">
      <w:pPr>
        <w:ind w:left="360"/>
        <w:rPr>
          <w:u w:val="single"/>
        </w:rPr>
      </w:pPr>
      <w:r w:rsidRPr="002C4E38">
        <w:rPr>
          <w:i/>
        </w:rPr>
        <w:t>OUTCOME:</w:t>
      </w:r>
      <w:r>
        <w:t xml:space="preserve">  </w:t>
      </w:r>
      <w:r w:rsidR="00011F49">
        <w:t>If</w:t>
      </w:r>
      <w:r w:rsidR="00047CB8">
        <w:t xml:space="preserve"> protected health information (PHI)</w:t>
      </w:r>
      <w:r w:rsidR="00047CB8" w:rsidRPr="00E92117">
        <w:t xml:space="preserve"> </w:t>
      </w:r>
      <w:r w:rsidR="00011F49">
        <w:t xml:space="preserve">is </w:t>
      </w:r>
      <w:r w:rsidR="00047CB8" w:rsidRPr="00E92117">
        <w:t xml:space="preserve">disclosed </w:t>
      </w:r>
      <w:r w:rsidR="00047CB8">
        <w:t xml:space="preserve">by UConn Health to </w:t>
      </w:r>
      <w:r w:rsidR="00A13B3C">
        <w:t>JAX</w:t>
      </w:r>
      <w:r w:rsidR="00047CB8">
        <w:t xml:space="preserve"> </w:t>
      </w:r>
      <w:r w:rsidR="00047CB8" w:rsidRPr="00E92117">
        <w:t xml:space="preserve">for </w:t>
      </w:r>
      <w:r w:rsidR="00047CB8">
        <w:t xml:space="preserve">research </w:t>
      </w:r>
      <w:r w:rsidR="00047CB8" w:rsidRPr="00E92117">
        <w:t>with an individual's written permission in the form of an Authorization</w:t>
      </w:r>
      <w:r w:rsidR="00047CB8">
        <w:t>,</w:t>
      </w:r>
      <w:r w:rsidR="00011F49">
        <w:t xml:space="preserve"> </w:t>
      </w:r>
      <w:r w:rsidR="00047CB8">
        <w:t xml:space="preserve">that PHI </w:t>
      </w:r>
      <w:r w:rsidR="00011F49">
        <w:t>that was disclosed may</w:t>
      </w:r>
      <w:r w:rsidR="00047CB8">
        <w:t xml:space="preserve"> no longer</w:t>
      </w:r>
      <w:r w:rsidR="00011F49">
        <w:t xml:space="preserve"> be</w:t>
      </w:r>
      <w:r w:rsidR="00047CB8">
        <w:t xml:space="preserve"> covered under HIPAA.  This is acceptable for </w:t>
      </w:r>
      <w:r w:rsidR="00A13B3C">
        <w:t>JAX</w:t>
      </w:r>
      <w:r w:rsidR="00047CB8">
        <w:t xml:space="preserve">.  </w:t>
      </w:r>
    </w:p>
    <w:p w:rsidR="00AD5835" w:rsidRPr="002C4E38" w:rsidRDefault="00567B2C" w:rsidP="00AD5835">
      <w:pPr>
        <w:rPr>
          <w:b/>
        </w:rPr>
      </w:pPr>
      <w:r>
        <w:rPr>
          <w:b/>
        </w:rPr>
        <w:t xml:space="preserve">2.  </w:t>
      </w:r>
      <w:r w:rsidR="00AD5835" w:rsidRPr="002C4E38">
        <w:rPr>
          <w:b/>
        </w:rPr>
        <w:t>DOCUMENT</w:t>
      </w:r>
      <w:r w:rsidR="00011F49">
        <w:rPr>
          <w:b/>
        </w:rPr>
        <w:t>S</w:t>
      </w:r>
      <w:r w:rsidR="00AD5835" w:rsidRPr="002C4E38">
        <w:rPr>
          <w:b/>
        </w:rPr>
        <w:t>:  Waiver</w:t>
      </w:r>
      <w:r w:rsidR="00C01EE0">
        <w:rPr>
          <w:b/>
        </w:rPr>
        <w:t xml:space="preserve"> of Consent, Waiver of HIPAA</w:t>
      </w:r>
      <w:r>
        <w:rPr>
          <w:b/>
        </w:rPr>
        <w:t xml:space="preserve"> Authorization</w:t>
      </w:r>
      <w:r w:rsidR="00C01EE0">
        <w:rPr>
          <w:b/>
        </w:rPr>
        <w:t>, IRB Application</w:t>
      </w:r>
    </w:p>
    <w:p w:rsidR="002C4E38" w:rsidRDefault="002C4E38" w:rsidP="002C4E38">
      <w:pPr>
        <w:ind w:left="360"/>
      </w:pPr>
      <w:r w:rsidRPr="002C4E38">
        <w:rPr>
          <w:i/>
        </w:rPr>
        <w:t>WHEN TO USE</w:t>
      </w:r>
      <w:r>
        <w:t xml:space="preserve">:  </w:t>
      </w:r>
      <w:r w:rsidRPr="004968EB">
        <w:rPr>
          <w:b/>
        </w:rPr>
        <w:t>Identifiable</w:t>
      </w:r>
      <w:r w:rsidR="00933ED4">
        <w:rPr>
          <w:b/>
        </w:rPr>
        <w:t>*</w:t>
      </w:r>
      <w:r>
        <w:t xml:space="preserve"> protected health information </w:t>
      </w:r>
      <w:r w:rsidR="00567B2C">
        <w:t>is being collected for the research</w:t>
      </w:r>
      <w:r>
        <w:t xml:space="preserve"> and it is NOT possible to obtain </w:t>
      </w:r>
      <w:r w:rsidR="00C01EE0">
        <w:t xml:space="preserve">consent </w:t>
      </w:r>
      <w:r w:rsidR="00A13B3C">
        <w:t>and authorization</w:t>
      </w:r>
      <w:r>
        <w:t xml:space="preserve"> from subjects (e.g. retrospective review of clinical records)</w:t>
      </w:r>
    </w:p>
    <w:p w:rsidR="002C4E38" w:rsidRDefault="002C4E38" w:rsidP="002C4E38">
      <w:pPr>
        <w:spacing w:after="0" w:line="240" w:lineRule="auto"/>
        <w:ind w:left="360"/>
      </w:pPr>
      <w:r w:rsidRPr="002C4E38">
        <w:rPr>
          <w:i/>
        </w:rPr>
        <w:t xml:space="preserve">HOW TO </w:t>
      </w:r>
      <w:r w:rsidR="00047CB8">
        <w:rPr>
          <w:i/>
        </w:rPr>
        <w:t>IMPLEMEN</w:t>
      </w:r>
      <w:r w:rsidRPr="002C4E38">
        <w:rPr>
          <w:i/>
        </w:rPr>
        <w:t>T</w:t>
      </w:r>
      <w:r>
        <w:t xml:space="preserve">:  </w:t>
      </w:r>
    </w:p>
    <w:p w:rsidR="00C01EE0" w:rsidRDefault="00C01EE0" w:rsidP="003D5F89">
      <w:pPr>
        <w:pStyle w:val="ListParagraph"/>
        <w:numPr>
          <w:ilvl w:val="0"/>
          <w:numId w:val="15"/>
        </w:numPr>
        <w:spacing w:after="0" w:line="240" w:lineRule="auto"/>
        <w:ind w:left="1170"/>
      </w:pPr>
      <w:r>
        <w:t xml:space="preserve">Consent Waiver:  </w:t>
      </w:r>
    </w:p>
    <w:p w:rsidR="00C01EE0" w:rsidRDefault="00C01EE0" w:rsidP="00C01EE0">
      <w:pPr>
        <w:pStyle w:val="ListParagraph"/>
        <w:numPr>
          <w:ilvl w:val="1"/>
          <w:numId w:val="14"/>
        </w:numPr>
        <w:spacing w:after="0" w:line="240" w:lineRule="auto"/>
      </w:pPr>
      <w:r>
        <w:t xml:space="preserve">Form to request waiver of consent is completed and submitted to IRB </w:t>
      </w:r>
    </w:p>
    <w:p w:rsidR="00C01EE0" w:rsidRDefault="00C01EE0" w:rsidP="003D5F89">
      <w:pPr>
        <w:pStyle w:val="ListParagraph"/>
        <w:numPr>
          <w:ilvl w:val="0"/>
          <w:numId w:val="14"/>
        </w:numPr>
        <w:spacing w:after="0" w:line="240" w:lineRule="auto"/>
        <w:ind w:left="1170"/>
      </w:pPr>
      <w:r>
        <w:t>HIPAA Waiver</w:t>
      </w:r>
    </w:p>
    <w:p w:rsidR="00C01EE0" w:rsidRDefault="00C01EE0" w:rsidP="003D5F89">
      <w:pPr>
        <w:pStyle w:val="ListParagraph"/>
        <w:numPr>
          <w:ilvl w:val="1"/>
          <w:numId w:val="14"/>
        </w:numPr>
        <w:spacing w:after="0" w:line="240" w:lineRule="auto"/>
      </w:pPr>
      <w:r>
        <w:t>Form to request waiver of HIPAA is completed and submitted to the IRB:</w:t>
      </w:r>
    </w:p>
    <w:p w:rsidR="00C04F6F" w:rsidRDefault="00A13B3C" w:rsidP="003D5F89">
      <w:pPr>
        <w:pStyle w:val="ListParagraph"/>
        <w:numPr>
          <w:ilvl w:val="2"/>
          <w:numId w:val="14"/>
        </w:numPr>
        <w:spacing w:after="0" w:line="240" w:lineRule="auto"/>
      </w:pPr>
      <w:r>
        <w:t>JAX</w:t>
      </w:r>
      <w:r w:rsidR="00C04F6F">
        <w:t xml:space="preserve"> is noted as an entity that may have access to the PHI</w:t>
      </w:r>
      <w:r w:rsidR="00567B2C">
        <w:t xml:space="preserve"> through disclosure</w:t>
      </w:r>
      <w:r>
        <w:t>.</w:t>
      </w:r>
    </w:p>
    <w:p w:rsidR="00C04F6F" w:rsidRDefault="00C04F6F" w:rsidP="003D5F89">
      <w:pPr>
        <w:pStyle w:val="ListParagraph"/>
        <w:numPr>
          <w:ilvl w:val="3"/>
          <w:numId w:val="14"/>
        </w:numPr>
        <w:spacing w:after="0" w:line="240" w:lineRule="auto"/>
      </w:pPr>
      <w:r>
        <w:t xml:space="preserve">Listing </w:t>
      </w:r>
      <w:r w:rsidR="00A13B3C">
        <w:t>JAX</w:t>
      </w:r>
      <w:r>
        <w:t xml:space="preserve"> in this section does not mean that </w:t>
      </w:r>
      <w:r w:rsidR="00A13B3C">
        <w:t>JAX</w:t>
      </w:r>
      <w:r>
        <w:t xml:space="preserve"> has to receive all of the protected health information noted in the waiver.  The protocol may still note that only coded information will be sent to </w:t>
      </w:r>
      <w:r w:rsidR="00A13B3C">
        <w:t>JAX</w:t>
      </w:r>
      <w:r>
        <w:t xml:space="preserve">.  However, because of the close nature of the collaborations and discussions that occur among the study team, </w:t>
      </w:r>
      <w:r w:rsidR="00A13B3C">
        <w:t>JAX</w:t>
      </w:r>
      <w:r>
        <w:t xml:space="preserve"> is required to be listed in this section.</w:t>
      </w:r>
    </w:p>
    <w:p w:rsidR="00C01EE0" w:rsidRDefault="00C01EE0" w:rsidP="003D5F89">
      <w:pPr>
        <w:pStyle w:val="ListParagraph"/>
        <w:numPr>
          <w:ilvl w:val="2"/>
          <w:numId w:val="14"/>
        </w:numPr>
        <w:spacing w:after="0" w:line="240" w:lineRule="auto"/>
      </w:pPr>
      <w:r>
        <w:t xml:space="preserve">If any identifiable data is shared with </w:t>
      </w:r>
      <w:r w:rsidR="00A13B3C">
        <w:t>JAX</w:t>
      </w:r>
      <w:r>
        <w:t>, the UConn Health investigators must retain an accounting of that disclosure</w:t>
      </w:r>
      <w:r w:rsidR="00567B2C">
        <w:t xml:space="preserve">. (Note:  Coded data is considered identifiable if the </w:t>
      </w:r>
      <w:r w:rsidR="00567B2C">
        <w:lastRenderedPageBreak/>
        <w:t xml:space="preserve">code is derived from identifiers.  Coded data is also considered identifiable if the individual has the key to decipher the code.) </w:t>
      </w:r>
    </w:p>
    <w:p w:rsidR="008073B3" w:rsidRDefault="008073B3" w:rsidP="003D5F89">
      <w:pPr>
        <w:pStyle w:val="ListParagraph"/>
        <w:spacing w:after="0" w:line="240" w:lineRule="auto"/>
        <w:ind w:left="2970"/>
      </w:pPr>
    </w:p>
    <w:p w:rsidR="00C04F6F" w:rsidRDefault="00C04F6F" w:rsidP="002C4E38">
      <w:pPr>
        <w:pStyle w:val="ListParagraph"/>
        <w:numPr>
          <w:ilvl w:val="0"/>
          <w:numId w:val="11"/>
        </w:numPr>
        <w:ind w:left="1170"/>
      </w:pPr>
      <w:r>
        <w:t>IRB Application:</w:t>
      </w:r>
    </w:p>
    <w:p w:rsidR="002C4E38" w:rsidRPr="004968EB" w:rsidRDefault="00C04F6F" w:rsidP="002C4E38">
      <w:pPr>
        <w:ind w:left="360"/>
        <w:rPr>
          <w:u w:val="single"/>
        </w:rPr>
      </w:pPr>
      <w:r>
        <w:t xml:space="preserve">Same as previously noted.  </w:t>
      </w:r>
      <w:r w:rsidR="002C4E38" w:rsidRPr="002C4E38">
        <w:rPr>
          <w:i/>
        </w:rPr>
        <w:t>OUTCOME:</w:t>
      </w:r>
      <w:r w:rsidR="002C4E38">
        <w:t xml:space="preserve">  Because the information was shared under a waiver of authorization the information </w:t>
      </w:r>
      <w:r>
        <w:t xml:space="preserve">may </w:t>
      </w:r>
      <w:r w:rsidR="002C4E38">
        <w:t xml:space="preserve">no longer </w:t>
      </w:r>
      <w:r>
        <w:t>be</w:t>
      </w:r>
      <w:r w:rsidR="00A13B3C">
        <w:t xml:space="preserve"> </w:t>
      </w:r>
      <w:r w:rsidR="002C4E38">
        <w:t xml:space="preserve">considered “protected” health information so this is acceptable for </w:t>
      </w:r>
      <w:r w:rsidR="00A13B3C">
        <w:t>JAX</w:t>
      </w:r>
      <w:r w:rsidR="002C4E38">
        <w:t xml:space="preserve">.  Use of the </w:t>
      </w:r>
      <w:r w:rsidR="00036545">
        <w:t xml:space="preserve">waiver of authorization </w:t>
      </w:r>
      <w:r w:rsidR="002C4E38">
        <w:t xml:space="preserve">allows for full sharing of study information. </w:t>
      </w:r>
    </w:p>
    <w:p w:rsidR="00B16A28" w:rsidRDefault="00B16A28" w:rsidP="00933ED4">
      <w:pPr>
        <w:rPr>
          <w:b/>
        </w:rPr>
      </w:pPr>
      <w:r w:rsidRPr="007A4568">
        <w:rPr>
          <w:b/>
          <w:u w:val="single"/>
        </w:rPr>
        <w:t>Note</w:t>
      </w:r>
      <w:r>
        <w:rPr>
          <w:b/>
        </w:rPr>
        <w:t xml:space="preserve">:  </w:t>
      </w:r>
      <w:r w:rsidRPr="00E7004F">
        <w:t xml:space="preserve">Limited data sets and data use agreements are not to be used because receipt of information </w:t>
      </w:r>
      <w:r w:rsidR="009D6F08">
        <w:t>b</w:t>
      </w:r>
      <w:r w:rsidR="00E7004F">
        <w:t xml:space="preserve">y </w:t>
      </w:r>
      <w:r w:rsidR="00A13B3C">
        <w:t>JAX</w:t>
      </w:r>
      <w:r w:rsidR="00E7004F">
        <w:t xml:space="preserve"> </w:t>
      </w:r>
      <w:r w:rsidRPr="00E7004F">
        <w:t xml:space="preserve">under such agreements </w:t>
      </w:r>
      <w:r w:rsidR="00E7004F" w:rsidRPr="00E7004F">
        <w:t xml:space="preserve">imposes HIPAA restrictions upon </w:t>
      </w:r>
      <w:r w:rsidR="00A13B3C">
        <w:t>JAX</w:t>
      </w:r>
      <w:r w:rsidR="004F7D36" w:rsidRPr="00E7004F">
        <w:t>.</w:t>
      </w:r>
      <w:r w:rsidR="004F7D36">
        <w:rPr>
          <w:vertAlign w:val="superscript"/>
        </w:rPr>
        <w:t>2</w:t>
      </w:r>
      <w:r w:rsidR="004F7D36">
        <w:rPr>
          <w:b/>
        </w:rPr>
        <w:t xml:space="preserve">  </w:t>
      </w:r>
    </w:p>
    <w:p w:rsidR="00B16A28" w:rsidRPr="007721C7" w:rsidRDefault="00B16A28" w:rsidP="00B16A28">
      <w:pPr>
        <w:rPr>
          <w:b/>
          <w:u w:val="single"/>
        </w:rPr>
      </w:pPr>
      <w:r>
        <w:rPr>
          <w:b/>
          <w:u w:val="single"/>
        </w:rPr>
        <w:t>B</w:t>
      </w:r>
      <w:r w:rsidRPr="007721C7">
        <w:rPr>
          <w:b/>
          <w:u w:val="single"/>
        </w:rPr>
        <w:t xml:space="preserve">:  </w:t>
      </w:r>
      <w:r w:rsidR="002B15F7">
        <w:rPr>
          <w:b/>
          <w:u w:val="single"/>
        </w:rPr>
        <w:t>Services Provided by</w:t>
      </w:r>
      <w:r w:rsidRPr="007721C7">
        <w:rPr>
          <w:b/>
          <w:u w:val="single"/>
        </w:rPr>
        <w:t xml:space="preserve"> </w:t>
      </w:r>
      <w:proofErr w:type="gramStart"/>
      <w:r w:rsidR="00036545">
        <w:rPr>
          <w:b/>
          <w:u w:val="single"/>
        </w:rPr>
        <w:t xml:space="preserve">JAX </w:t>
      </w:r>
      <w:r w:rsidR="00567B2C">
        <w:rPr>
          <w:b/>
          <w:u w:val="single"/>
        </w:rPr>
        <w:t xml:space="preserve"> without</w:t>
      </w:r>
      <w:proofErr w:type="gramEnd"/>
      <w:r w:rsidR="00567B2C">
        <w:rPr>
          <w:b/>
          <w:u w:val="single"/>
        </w:rPr>
        <w:t xml:space="preserve"> Collaboration</w:t>
      </w:r>
    </w:p>
    <w:p w:rsidR="00933ED4" w:rsidRPr="00933ED4" w:rsidRDefault="00933ED4" w:rsidP="00933ED4">
      <w:pPr>
        <w:ind w:left="360"/>
        <w:rPr>
          <w:b/>
        </w:rPr>
      </w:pPr>
      <w:r w:rsidRPr="002C4E38">
        <w:rPr>
          <w:i/>
        </w:rPr>
        <w:t xml:space="preserve">WHEN </w:t>
      </w:r>
      <w:r>
        <w:rPr>
          <w:i/>
        </w:rPr>
        <w:t>APPLICABLE</w:t>
      </w:r>
      <w:r>
        <w:t xml:space="preserve">:  </w:t>
      </w:r>
      <w:r w:rsidR="002B15F7">
        <w:t xml:space="preserve">When </w:t>
      </w:r>
      <w:r w:rsidR="00A13B3C">
        <w:t>JAX</w:t>
      </w:r>
      <w:r w:rsidR="002B15F7">
        <w:t xml:space="preserve"> will provide services for a study that are limited to analysis of samples/data that do not contain any identifiers</w:t>
      </w:r>
      <w:r w:rsidR="004F7D36">
        <w:rPr>
          <w:vertAlign w:val="superscript"/>
        </w:rPr>
        <w:t>3</w:t>
      </w:r>
      <w:r w:rsidR="00354350">
        <w:rPr>
          <w:vertAlign w:val="superscript"/>
        </w:rPr>
        <w:t xml:space="preserve"> </w:t>
      </w:r>
      <w:r w:rsidR="00354350" w:rsidRPr="00354350">
        <w:rPr>
          <w:b/>
        </w:rPr>
        <w:t>a</w:t>
      </w:r>
      <w:r w:rsidR="002B15F7" w:rsidRPr="00A861A1">
        <w:rPr>
          <w:b/>
        </w:rPr>
        <w:t>n</w:t>
      </w:r>
      <w:r w:rsidR="00A13B3C" w:rsidRPr="00A861A1">
        <w:rPr>
          <w:b/>
        </w:rPr>
        <w:t>d</w:t>
      </w:r>
      <w:r w:rsidR="002B15F7" w:rsidRPr="00A861A1">
        <w:rPr>
          <w:b/>
        </w:rPr>
        <w:t xml:space="preserve"> </w:t>
      </w:r>
      <w:r w:rsidR="002B15F7">
        <w:t xml:space="preserve">no individuals from </w:t>
      </w:r>
      <w:r w:rsidR="00A13B3C">
        <w:t>JAX</w:t>
      </w:r>
      <w:r w:rsidR="002B15F7">
        <w:t xml:space="preserve"> are recognized as co-investigators on the study.  </w:t>
      </w:r>
      <w:r w:rsidR="009D6F08">
        <w:t xml:space="preserve">The information may be coded providing the code is </w:t>
      </w:r>
      <w:r w:rsidR="00317508">
        <w:t xml:space="preserve">not derived from other identifiers and that </w:t>
      </w:r>
      <w:r w:rsidR="00A13B3C">
        <w:t>JAX</w:t>
      </w:r>
      <w:r w:rsidR="00317508">
        <w:t xml:space="preserve"> personnel do not have the key to decipher the code. </w:t>
      </w:r>
      <w:r w:rsidR="00C50B0E">
        <w:t xml:space="preserve">If the UConn Health investigators are using protected health information, HIPAA is addressed per routine practice at UConn Health. </w:t>
      </w:r>
    </w:p>
    <w:p w:rsidR="00933ED4" w:rsidRDefault="00047CB8" w:rsidP="00933ED4">
      <w:pPr>
        <w:spacing w:after="0" w:line="240" w:lineRule="auto"/>
        <w:ind w:left="360"/>
      </w:pPr>
      <w:r>
        <w:rPr>
          <w:i/>
        </w:rPr>
        <w:t>HOW TO IMPLEMEN</w:t>
      </w:r>
      <w:r w:rsidR="00933ED4" w:rsidRPr="002C4E38">
        <w:rPr>
          <w:i/>
        </w:rPr>
        <w:t>T</w:t>
      </w:r>
      <w:r w:rsidR="00933ED4">
        <w:t xml:space="preserve">:  </w:t>
      </w:r>
    </w:p>
    <w:p w:rsidR="002B15F7" w:rsidRDefault="002B15F7" w:rsidP="00933ED4">
      <w:pPr>
        <w:spacing w:after="0" w:line="240" w:lineRule="auto"/>
        <w:ind w:left="360"/>
      </w:pPr>
      <w:proofErr w:type="gramStart"/>
      <w:r>
        <w:t>Assuming that the study at UConn Health requires consent and authorization.</w:t>
      </w:r>
      <w:proofErr w:type="gramEnd"/>
      <w:r>
        <w:t xml:space="preserve"> </w:t>
      </w:r>
    </w:p>
    <w:p w:rsidR="002B15F7" w:rsidRDefault="002B15F7" w:rsidP="002B15F7">
      <w:pPr>
        <w:pStyle w:val="ListParagraph"/>
        <w:numPr>
          <w:ilvl w:val="0"/>
          <w:numId w:val="11"/>
        </w:numPr>
        <w:ind w:left="1170"/>
      </w:pPr>
      <w:r>
        <w:t xml:space="preserve">Consent:  </w:t>
      </w:r>
    </w:p>
    <w:p w:rsidR="002B15F7" w:rsidRDefault="002B15F7" w:rsidP="002B15F7">
      <w:pPr>
        <w:pStyle w:val="ListParagraph"/>
        <w:numPr>
          <w:ilvl w:val="1"/>
          <w:numId w:val="11"/>
        </w:numPr>
      </w:pPr>
      <w:r>
        <w:t xml:space="preserve">The consent form addresses the functions that </w:t>
      </w:r>
      <w:r w:rsidR="00A13B3C">
        <w:t>JAX</w:t>
      </w:r>
      <w:r>
        <w:t xml:space="preserve"> will perform (e.g. your coded tissue sample will be provided to </w:t>
      </w:r>
      <w:r w:rsidR="00A13B3C">
        <w:t>JAX</w:t>
      </w:r>
      <w:r>
        <w:t xml:space="preserve"> Labs where a variety of genomic assays (tests) will be done to investigate whether XXXX…..). </w:t>
      </w:r>
    </w:p>
    <w:p w:rsidR="002B15F7" w:rsidRDefault="002B15F7" w:rsidP="002B15F7">
      <w:pPr>
        <w:pStyle w:val="ListParagraph"/>
        <w:numPr>
          <w:ilvl w:val="1"/>
          <w:numId w:val="11"/>
        </w:numPr>
      </w:pPr>
      <w:r>
        <w:t xml:space="preserve">The confidentiality section of the consent form accurately describes how information will be provided to </w:t>
      </w:r>
      <w:r w:rsidR="00A13B3C">
        <w:t>JAX</w:t>
      </w:r>
      <w:r>
        <w:t xml:space="preserve"> and that there is a chance for identification of the individual (e.g. While only coded samples will be provided to </w:t>
      </w:r>
      <w:r w:rsidR="00A13B3C">
        <w:t>JAX</w:t>
      </w:r>
      <w:r>
        <w:t xml:space="preserve">, there is a chance that as the research progresses your identity may become known to employees at </w:t>
      </w:r>
      <w:r w:rsidR="00A13B3C">
        <w:t>JAX</w:t>
      </w:r>
      <w:r>
        <w:t xml:space="preserve"> .  </w:t>
      </w:r>
      <w:r w:rsidR="00A13B3C">
        <w:t>JAX</w:t>
      </w:r>
      <w:r>
        <w:t xml:space="preserve"> employees are obligated to keep that information confidential.") </w:t>
      </w:r>
    </w:p>
    <w:p w:rsidR="002B15F7" w:rsidRDefault="002B15F7" w:rsidP="002B15F7">
      <w:pPr>
        <w:pStyle w:val="ListParagraph"/>
        <w:ind w:left="1980"/>
      </w:pPr>
    </w:p>
    <w:p w:rsidR="002B15F7" w:rsidRDefault="002B15F7" w:rsidP="002B15F7">
      <w:pPr>
        <w:pStyle w:val="ListParagraph"/>
        <w:numPr>
          <w:ilvl w:val="0"/>
          <w:numId w:val="11"/>
        </w:numPr>
        <w:ind w:left="1170"/>
      </w:pPr>
      <w:r>
        <w:t>Authorization:</w:t>
      </w:r>
    </w:p>
    <w:p w:rsidR="002B15F7" w:rsidRDefault="00C16D72" w:rsidP="002B15F7">
      <w:pPr>
        <w:pStyle w:val="ListParagraph"/>
        <w:numPr>
          <w:ilvl w:val="1"/>
          <w:numId w:val="11"/>
        </w:numPr>
      </w:pPr>
      <w:r>
        <w:t xml:space="preserve">The </w:t>
      </w:r>
      <w:r w:rsidR="002B15F7">
        <w:t>Jackson Lab</w:t>
      </w:r>
      <w:r>
        <w:t>oratory is</w:t>
      </w:r>
      <w:r w:rsidR="002B15F7">
        <w:t xml:space="preserve"> listed on the Authorization under the section titled "People/Offices That Will Have Access to Your Information" as an entity to which information may be disclosed</w:t>
      </w:r>
    </w:p>
    <w:p w:rsidR="002B15F7" w:rsidRDefault="002B15F7" w:rsidP="002B15F7">
      <w:pPr>
        <w:pStyle w:val="ListParagraph"/>
        <w:numPr>
          <w:ilvl w:val="2"/>
          <w:numId w:val="11"/>
        </w:numPr>
      </w:pPr>
      <w:r>
        <w:t xml:space="preserve">Listing </w:t>
      </w:r>
      <w:r w:rsidR="00A13B3C">
        <w:t>JAX</w:t>
      </w:r>
      <w:r>
        <w:t xml:space="preserve"> in this section does not mean that </w:t>
      </w:r>
      <w:r w:rsidR="00A13B3C">
        <w:t>JAX</w:t>
      </w:r>
      <w:r>
        <w:t xml:space="preserve"> has to receive all of the protected health information noted in the authorization.  The protocol </w:t>
      </w:r>
      <w:r w:rsidR="000E6C93">
        <w:t xml:space="preserve">and consent </w:t>
      </w:r>
      <w:r>
        <w:t xml:space="preserve">may still note that only coded information will be sent to </w:t>
      </w:r>
      <w:r w:rsidR="00A13B3C">
        <w:t>JAX</w:t>
      </w:r>
      <w:r>
        <w:t xml:space="preserve">.  </w:t>
      </w:r>
      <w:r w:rsidR="003178AB">
        <w:t xml:space="preserve">Listing outside labs that may receive data is a standard part of the UConn Health Authorization template and as </w:t>
      </w:r>
      <w:r w:rsidR="00C16D72">
        <w:t xml:space="preserve">such </w:t>
      </w:r>
      <w:r w:rsidR="00A13B3C">
        <w:t>JAX</w:t>
      </w:r>
      <w:r>
        <w:t xml:space="preserve"> is required to be listed in this section.</w:t>
      </w:r>
    </w:p>
    <w:p w:rsidR="002B15F7" w:rsidRDefault="002B15F7" w:rsidP="002B15F7">
      <w:pPr>
        <w:pStyle w:val="ListParagraph"/>
        <w:numPr>
          <w:ilvl w:val="0"/>
          <w:numId w:val="11"/>
        </w:numPr>
        <w:ind w:left="1170"/>
      </w:pPr>
      <w:r>
        <w:t>IRB Application:</w:t>
      </w:r>
    </w:p>
    <w:p w:rsidR="002B15F7" w:rsidRDefault="002B15F7" w:rsidP="002B15F7">
      <w:pPr>
        <w:pStyle w:val="ListParagraph"/>
        <w:numPr>
          <w:ilvl w:val="1"/>
          <w:numId w:val="11"/>
        </w:numPr>
      </w:pPr>
      <w:r>
        <w:t xml:space="preserve">In the Key Study Personnel (KSP) section of the application, </w:t>
      </w:r>
      <w:r w:rsidR="00A13B3C">
        <w:t>JAX</w:t>
      </w:r>
      <w:r>
        <w:t xml:space="preserve"> investigators are </w:t>
      </w:r>
      <w:r w:rsidRPr="003D5F89">
        <w:rPr>
          <w:b/>
        </w:rPr>
        <w:t>NOT</w:t>
      </w:r>
      <w:r>
        <w:t xml:space="preserve"> named individually </w:t>
      </w:r>
    </w:p>
    <w:p w:rsidR="002B15F7" w:rsidRDefault="002B15F7" w:rsidP="002B15F7">
      <w:pPr>
        <w:pStyle w:val="ListParagraph"/>
        <w:numPr>
          <w:ilvl w:val="1"/>
          <w:numId w:val="11"/>
        </w:numPr>
      </w:pPr>
      <w:r>
        <w:t xml:space="preserve">On the KSP page in the area designated for Administrative Oversight </w:t>
      </w:r>
      <w:r w:rsidR="00A13B3C">
        <w:t>J</w:t>
      </w:r>
      <w:r w:rsidR="005138DE">
        <w:t xml:space="preserve">ackson Labs </w:t>
      </w:r>
      <w:r>
        <w:t xml:space="preserve">is listed.  This allows for </w:t>
      </w:r>
      <w:r w:rsidR="00A13B3C">
        <w:t>JAX</w:t>
      </w:r>
      <w:r>
        <w:t xml:space="preserve"> administrators to maintain a listing of all studies with which </w:t>
      </w:r>
      <w:r w:rsidR="00A13B3C">
        <w:t>JAX</w:t>
      </w:r>
      <w:r>
        <w:t xml:space="preserve"> is involved, whether engaged in the research directly or providing a service to UConn Health investigators.</w:t>
      </w:r>
    </w:p>
    <w:p w:rsidR="002B15F7" w:rsidRDefault="002B15F7" w:rsidP="002B15F7">
      <w:pPr>
        <w:pStyle w:val="ListParagraph"/>
        <w:numPr>
          <w:ilvl w:val="1"/>
          <w:numId w:val="11"/>
        </w:numPr>
      </w:pPr>
      <w:r>
        <w:lastRenderedPageBreak/>
        <w:t xml:space="preserve">Indicate No that collaborating sites are not involved because </w:t>
      </w:r>
      <w:r w:rsidR="00A13B3C">
        <w:t>JAX</w:t>
      </w:r>
      <w:r>
        <w:t xml:space="preserve"> employees are providing a service but not considered co-investigators / collaborators in the research; </w:t>
      </w:r>
      <w:r w:rsidR="004A4C6D">
        <w:t>in essence they are acting as an outside lab service</w:t>
      </w:r>
      <w:r>
        <w:t xml:space="preserve"> </w:t>
      </w:r>
    </w:p>
    <w:p w:rsidR="00834EC7" w:rsidRDefault="004A4C6D" w:rsidP="00834EC7">
      <w:pPr>
        <w:pStyle w:val="ListParagraph"/>
        <w:numPr>
          <w:ilvl w:val="2"/>
          <w:numId w:val="11"/>
        </w:numPr>
      </w:pPr>
      <w:r>
        <w:t>I</w:t>
      </w:r>
      <w:r w:rsidR="002B15F7">
        <w:t xml:space="preserve">f </w:t>
      </w:r>
      <w:r w:rsidR="00A13B3C">
        <w:t>JAX</w:t>
      </w:r>
      <w:r w:rsidR="002B15F7">
        <w:t xml:space="preserve"> is providing any funding </w:t>
      </w:r>
      <w:r w:rsidR="005138DE">
        <w:t>Jackson Laboratory</w:t>
      </w:r>
      <w:r w:rsidR="002B15F7">
        <w:t xml:space="preserve"> is also noted in the application as a funding </w:t>
      </w:r>
      <w:r w:rsidR="005138DE">
        <w:t>source</w:t>
      </w:r>
      <w:r w:rsidR="00834EC7">
        <w:t>.</w:t>
      </w:r>
    </w:p>
    <w:p w:rsidR="00834EC7" w:rsidRDefault="00834EC7" w:rsidP="00A861A1">
      <w:pPr>
        <w:pStyle w:val="ListParagraph"/>
        <w:numPr>
          <w:ilvl w:val="3"/>
          <w:numId w:val="11"/>
        </w:numPr>
      </w:pPr>
      <w:r>
        <w:t xml:space="preserve"> If JAX is the recipient of a federal award and providing funding to UConn Health through a sub-award, both the federal agency and Jackson Laboratory are added as funding source and a copy of the federal award is attached to the IRB submission.  Both the JAX award number and UConn Health sub-award number should be added to the IRB application so that both JAX and UConn Health Office of Research and Sponsored Programs can link the IRB approval to the grant award. </w:t>
      </w:r>
    </w:p>
    <w:p w:rsidR="002B15F7" w:rsidRDefault="002B15F7" w:rsidP="00A861A1">
      <w:pPr>
        <w:pStyle w:val="ListParagraph"/>
        <w:ind w:left="1980"/>
      </w:pPr>
    </w:p>
    <w:p w:rsidR="00933ED4" w:rsidRPr="004968EB" w:rsidRDefault="00933ED4" w:rsidP="00FA2D80">
      <w:pPr>
        <w:spacing w:line="240" w:lineRule="auto"/>
        <w:ind w:left="360"/>
        <w:rPr>
          <w:u w:val="single"/>
        </w:rPr>
      </w:pPr>
      <w:r w:rsidRPr="002C4E38">
        <w:rPr>
          <w:i/>
        </w:rPr>
        <w:t>OUTCOME:</w:t>
      </w:r>
      <w:r>
        <w:t xml:space="preserve">  Because the information </w:t>
      </w:r>
      <w:r w:rsidR="00C50B0E">
        <w:t xml:space="preserve">is </w:t>
      </w:r>
      <w:r w:rsidR="003178AB">
        <w:t>not identifiable when received</w:t>
      </w:r>
      <w:r w:rsidR="00C50B0E">
        <w:t xml:space="preserve"> by </w:t>
      </w:r>
      <w:r w:rsidR="00A13B3C">
        <w:t>JAX</w:t>
      </w:r>
      <w:r w:rsidR="00C50B0E">
        <w:t xml:space="preserve">, HIPAA is not applicable to </w:t>
      </w:r>
      <w:r w:rsidR="00A13B3C">
        <w:t>JAX</w:t>
      </w:r>
      <w:r w:rsidR="00E7004F">
        <w:t xml:space="preserve"> and </w:t>
      </w:r>
      <w:r w:rsidR="00A13B3C">
        <w:t>JAX</w:t>
      </w:r>
      <w:r w:rsidR="00E7004F">
        <w:t xml:space="preserve"> (unless providing the funding) is not engaged in the human subject research aspect of the work</w:t>
      </w:r>
      <w:r w:rsidR="00C50B0E">
        <w:t>.</w:t>
      </w:r>
      <w:r w:rsidR="00E7004F">
        <w:t xml:space="preserve">  </w:t>
      </w:r>
      <w:r w:rsidR="00C50B0E">
        <w:t xml:space="preserve">  </w:t>
      </w:r>
    </w:p>
    <w:p w:rsidR="00DA5DD7" w:rsidRDefault="00DA5DD7" w:rsidP="00A861A1">
      <w:pPr>
        <w:ind w:left="270" w:hanging="270"/>
        <w:rPr>
          <w:sz w:val="20"/>
          <w:szCs w:val="20"/>
        </w:rPr>
      </w:pPr>
    </w:p>
    <w:p w:rsidR="00DA5DD7" w:rsidRPr="00A861A1" w:rsidRDefault="00A861A1" w:rsidP="00A861A1">
      <w:pPr>
        <w:ind w:left="270" w:hanging="270"/>
        <w:rPr>
          <w:b/>
          <w:sz w:val="20"/>
          <w:szCs w:val="20"/>
        </w:rPr>
      </w:pPr>
      <w:r w:rsidRPr="00A861A1">
        <w:rPr>
          <w:b/>
          <w:sz w:val="20"/>
          <w:szCs w:val="20"/>
        </w:rPr>
        <w:t xml:space="preserve">C.  </w:t>
      </w:r>
      <w:r w:rsidR="00DA417E" w:rsidRPr="00A861A1">
        <w:rPr>
          <w:b/>
          <w:sz w:val="20"/>
          <w:szCs w:val="20"/>
        </w:rPr>
        <w:t xml:space="preserve">WHEN APPLICABLE - </w:t>
      </w:r>
      <w:r w:rsidR="00DA5DD7" w:rsidRPr="00A861A1">
        <w:rPr>
          <w:b/>
          <w:sz w:val="20"/>
          <w:szCs w:val="20"/>
        </w:rPr>
        <w:t>REQUIRED CER</w:t>
      </w:r>
      <w:r w:rsidR="00BD581D">
        <w:rPr>
          <w:b/>
          <w:sz w:val="20"/>
          <w:szCs w:val="20"/>
        </w:rPr>
        <w:t xml:space="preserve">TIFICATIONS </w:t>
      </w:r>
      <w:r w:rsidR="00DA5DD7" w:rsidRPr="00A861A1">
        <w:rPr>
          <w:b/>
          <w:sz w:val="20"/>
          <w:szCs w:val="20"/>
        </w:rPr>
        <w:t>FOR DATA SHARING PLANS</w:t>
      </w:r>
    </w:p>
    <w:p w:rsidR="00DA5DD7" w:rsidRDefault="00DA5DD7" w:rsidP="00DA5DD7">
      <w:pPr>
        <w:rPr>
          <w:sz w:val="20"/>
          <w:szCs w:val="20"/>
        </w:rPr>
      </w:pPr>
      <w:r>
        <w:rPr>
          <w:sz w:val="20"/>
          <w:szCs w:val="20"/>
        </w:rPr>
        <w:t xml:space="preserve">The following guidance is provided for studies that involve both JAX and UConn Health and that </w:t>
      </w:r>
      <w:r w:rsidR="00CB2F9E">
        <w:rPr>
          <w:sz w:val="20"/>
          <w:szCs w:val="20"/>
        </w:rPr>
        <w:t>require</w:t>
      </w:r>
      <w:r>
        <w:rPr>
          <w:sz w:val="20"/>
          <w:szCs w:val="20"/>
        </w:rPr>
        <w:t xml:space="preserve"> a data sharing plan in compliance with NIH Guidelines</w:t>
      </w:r>
      <w:r w:rsidR="00DA417E">
        <w:rPr>
          <w:sz w:val="20"/>
          <w:szCs w:val="20"/>
        </w:rPr>
        <w:t xml:space="preserve"> (i.e. NIH funded studies that are expected to generate large-scale genomic data)</w:t>
      </w:r>
      <w:r>
        <w:rPr>
          <w:sz w:val="20"/>
          <w:szCs w:val="20"/>
        </w:rPr>
        <w:t>.</w:t>
      </w:r>
    </w:p>
    <w:p w:rsidR="00DA5DD7" w:rsidRDefault="00DA5DD7" w:rsidP="00A861A1">
      <w:pPr>
        <w:ind w:left="270" w:hanging="270"/>
        <w:rPr>
          <w:sz w:val="20"/>
          <w:szCs w:val="20"/>
        </w:rPr>
      </w:pPr>
      <w:r>
        <w:rPr>
          <w:sz w:val="20"/>
          <w:szCs w:val="20"/>
        </w:rPr>
        <w:t xml:space="preserve">The IRB form Appendix E </w:t>
      </w:r>
      <w:r w:rsidR="004F7D36">
        <w:rPr>
          <w:sz w:val="20"/>
          <w:szCs w:val="20"/>
          <w:vertAlign w:val="superscript"/>
        </w:rPr>
        <w:t>4</w:t>
      </w:r>
      <w:r>
        <w:rPr>
          <w:sz w:val="20"/>
          <w:szCs w:val="20"/>
        </w:rPr>
        <w:t xml:space="preserve"> NIH Genomic Data Sharing Plans for Data Submission to an NIH Repository" must be included as part of the IRB submission packet.  </w:t>
      </w:r>
    </w:p>
    <w:p w:rsidR="00DA5DD7" w:rsidRPr="00A861A1" w:rsidRDefault="00DA5DD7" w:rsidP="00A861A1">
      <w:pPr>
        <w:pStyle w:val="ListParagraph"/>
        <w:numPr>
          <w:ilvl w:val="0"/>
          <w:numId w:val="16"/>
        </w:numPr>
        <w:rPr>
          <w:sz w:val="20"/>
          <w:szCs w:val="20"/>
        </w:rPr>
      </w:pPr>
      <w:r w:rsidRPr="00A861A1">
        <w:rPr>
          <w:sz w:val="20"/>
          <w:szCs w:val="20"/>
        </w:rPr>
        <w:t>The PI of the Study completes part A</w:t>
      </w:r>
    </w:p>
    <w:p w:rsidR="00CB2F9E" w:rsidRPr="00A861A1" w:rsidRDefault="00CB2F9E" w:rsidP="00A861A1">
      <w:pPr>
        <w:pStyle w:val="ListParagraph"/>
        <w:numPr>
          <w:ilvl w:val="0"/>
          <w:numId w:val="16"/>
        </w:numPr>
        <w:rPr>
          <w:sz w:val="20"/>
          <w:szCs w:val="20"/>
        </w:rPr>
      </w:pPr>
      <w:r w:rsidRPr="00A861A1">
        <w:rPr>
          <w:sz w:val="20"/>
          <w:szCs w:val="20"/>
        </w:rPr>
        <w:t>In Part B of the form</w:t>
      </w:r>
    </w:p>
    <w:p w:rsidR="00CB2F9E" w:rsidRDefault="00CB2F9E" w:rsidP="00A861A1">
      <w:pPr>
        <w:pStyle w:val="ListParagraph"/>
        <w:numPr>
          <w:ilvl w:val="1"/>
          <w:numId w:val="16"/>
        </w:numPr>
        <w:rPr>
          <w:sz w:val="20"/>
          <w:szCs w:val="20"/>
        </w:rPr>
      </w:pPr>
      <w:r>
        <w:rPr>
          <w:sz w:val="20"/>
          <w:szCs w:val="20"/>
        </w:rPr>
        <w:t>t</w:t>
      </w:r>
      <w:r w:rsidRPr="00A861A1">
        <w:rPr>
          <w:sz w:val="20"/>
          <w:szCs w:val="20"/>
        </w:rPr>
        <w:t>he Chair of the reviewing IRB will sign</w:t>
      </w:r>
      <w:r>
        <w:rPr>
          <w:sz w:val="20"/>
          <w:szCs w:val="20"/>
        </w:rPr>
        <w:t xml:space="preserve"> in the section certifying IRB review</w:t>
      </w:r>
      <w:r w:rsidRPr="00A861A1">
        <w:rPr>
          <w:sz w:val="20"/>
          <w:szCs w:val="20"/>
        </w:rPr>
        <w:t xml:space="preserve"> </w:t>
      </w:r>
    </w:p>
    <w:p w:rsidR="00CB2F9E" w:rsidRDefault="00CB2F9E" w:rsidP="00A861A1">
      <w:pPr>
        <w:pStyle w:val="ListParagraph"/>
        <w:numPr>
          <w:ilvl w:val="1"/>
          <w:numId w:val="16"/>
        </w:numPr>
        <w:rPr>
          <w:sz w:val="20"/>
          <w:szCs w:val="20"/>
        </w:rPr>
      </w:pPr>
      <w:proofErr w:type="gramStart"/>
      <w:r>
        <w:rPr>
          <w:sz w:val="20"/>
          <w:szCs w:val="20"/>
        </w:rPr>
        <w:t>the</w:t>
      </w:r>
      <w:proofErr w:type="gramEnd"/>
      <w:r>
        <w:rPr>
          <w:sz w:val="20"/>
          <w:szCs w:val="20"/>
        </w:rPr>
        <w:t xml:space="preserve"> Institutional Official from the </w:t>
      </w:r>
      <w:r w:rsidR="00DA417E">
        <w:rPr>
          <w:sz w:val="20"/>
          <w:szCs w:val="20"/>
        </w:rPr>
        <w:t xml:space="preserve">of the institution submitting the grant application will sign the Institutional Certification section. </w:t>
      </w:r>
    </w:p>
    <w:p w:rsidR="006E2511" w:rsidRPr="006E2511" w:rsidRDefault="006E2511" w:rsidP="006E2511">
      <w:pPr>
        <w:rPr>
          <w:sz w:val="20"/>
          <w:szCs w:val="20"/>
        </w:rPr>
      </w:pPr>
    </w:p>
    <w:p w:rsidR="00BD581D" w:rsidRDefault="00BD581D" w:rsidP="00BD581D">
      <w:pPr>
        <w:pStyle w:val="ListParagraph"/>
        <w:rPr>
          <w:sz w:val="20"/>
          <w:szCs w:val="20"/>
        </w:rPr>
      </w:pPr>
      <w:r>
        <w:rPr>
          <w:sz w:val="20"/>
          <w:szCs w:val="20"/>
        </w:rPr>
        <w:t>*******************************************************************************</w:t>
      </w:r>
    </w:p>
    <w:p w:rsidR="004F7D36" w:rsidRPr="00047CB8" w:rsidRDefault="004F7D36" w:rsidP="004F7D36">
      <w:pPr>
        <w:spacing w:line="240" w:lineRule="auto"/>
        <w:rPr>
          <w:sz w:val="20"/>
          <w:szCs w:val="20"/>
        </w:rPr>
      </w:pPr>
      <w:r>
        <w:rPr>
          <w:b/>
          <w:sz w:val="20"/>
          <w:szCs w:val="20"/>
        </w:rPr>
        <w:t>1</w:t>
      </w:r>
      <w:r w:rsidR="00BD581D">
        <w:rPr>
          <w:b/>
          <w:sz w:val="20"/>
          <w:szCs w:val="20"/>
        </w:rPr>
        <w:t xml:space="preserve"> - Identifiers:   </w:t>
      </w:r>
      <w:r w:rsidRPr="00BD581D">
        <w:rPr>
          <w:sz w:val="20"/>
          <w:szCs w:val="20"/>
        </w:rPr>
        <w:t>identifiable</w:t>
      </w:r>
      <w:r w:rsidRPr="00047CB8">
        <w:rPr>
          <w:sz w:val="20"/>
          <w:szCs w:val="20"/>
        </w:rPr>
        <w:t xml:space="preserve"> means the health information being shared contains one or more of the HIPAA defined identifiers listed below. </w:t>
      </w:r>
      <w:r>
        <w:rPr>
          <w:sz w:val="20"/>
          <w:szCs w:val="20"/>
        </w:rPr>
        <w:t xml:space="preserve">De-identified therefore means none of the HIPAA identifiers are included in the data. </w:t>
      </w:r>
      <w:r w:rsidRPr="00047CB8">
        <w:rPr>
          <w:sz w:val="20"/>
          <w:szCs w:val="20"/>
        </w:rPr>
        <w:t xml:space="preserve">For a code to be an identifier it must be comprised of other identifiers, and/or the recipient of the </w:t>
      </w:r>
      <w:r>
        <w:rPr>
          <w:sz w:val="20"/>
          <w:szCs w:val="20"/>
        </w:rPr>
        <w:t>data</w:t>
      </w:r>
      <w:r w:rsidRPr="00047CB8">
        <w:rPr>
          <w:sz w:val="20"/>
          <w:szCs w:val="20"/>
        </w:rPr>
        <w:t xml:space="preserve"> must have the key to link the coded data back to the individual from</w:t>
      </w:r>
      <w:r>
        <w:rPr>
          <w:sz w:val="20"/>
          <w:szCs w:val="20"/>
        </w:rPr>
        <w:t xml:space="preserve"> whom it came</w:t>
      </w:r>
      <w:r w:rsidRPr="00047CB8">
        <w:rPr>
          <w:sz w:val="20"/>
          <w:szCs w:val="20"/>
        </w:rPr>
        <w:t xml:space="preserve">. </w:t>
      </w:r>
    </w:p>
    <w:p w:rsidR="004F7D36" w:rsidRDefault="004F7D36" w:rsidP="004F7D36">
      <w:pPr>
        <w:spacing w:after="0" w:line="240" w:lineRule="auto"/>
        <w:ind w:left="2880"/>
        <w:rPr>
          <w:b/>
          <w:sz w:val="20"/>
          <w:szCs w:val="20"/>
          <w:u w:val="single"/>
        </w:rPr>
      </w:pPr>
      <w:r w:rsidRPr="00902BEB">
        <w:rPr>
          <w:b/>
          <w:sz w:val="20"/>
          <w:szCs w:val="20"/>
          <w:u w:val="single"/>
        </w:rPr>
        <w:t>IDENTIFIERS PER HIPAA</w:t>
      </w:r>
    </w:p>
    <w:p w:rsidR="004F7D36" w:rsidRPr="00902BEB" w:rsidRDefault="004F7D36" w:rsidP="004F7D36">
      <w:pPr>
        <w:spacing w:after="0" w:line="240" w:lineRule="auto"/>
        <w:ind w:left="2880"/>
        <w:rPr>
          <w:b/>
          <w:sz w:val="20"/>
          <w:szCs w:val="20"/>
          <w:u w:val="single"/>
        </w:rPr>
      </w:pPr>
    </w:p>
    <w:tbl>
      <w:tblPr>
        <w:tblW w:w="0" w:type="auto"/>
        <w:jc w:val="center"/>
        <w:tblLook w:val="0000" w:firstRow="0" w:lastRow="0" w:firstColumn="0" w:lastColumn="0" w:noHBand="0" w:noVBand="0"/>
      </w:tblPr>
      <w:tblGrid>
        <w:gridCol w:w="2700"/>
        <w:gridCol w:w="222"/>
        <w:gridCol w:w="5079"/>
      </w:tblGrid>
      <w:tr w:rsidR="004F7D36" w:rsidRPr="00047CB8" w:rsidTr="00AC3E32">
        <w:trPr>
          <w:jc w:val="center"/>
        </w:trPr>
        <w:tc>
          <w:tcPr>
            <w:tcW w:w="0" w:type="auto"/>
          </w:tcPr>
          <w:p w:rsidR="004F7D36" w:rsidRPr="00047CB8" w:rsidRDefault="004F7D36" w:rsidP="00AC3E32">
            <w:pPr>
              <w:pStyle w:val="BodyText"/>
              <w:tabs>
                <w:tab w:val="clear" w:pos="3330"/>
              </w:tabs>
              <w:rPr>
                <w:rFonts w:asciiTheme="minorHAnsi" w:hAnsiTheme="minorHAnsi"/>
                <w:sz w:val="20"/>
              </w:rPr>
            </w:pPr>
            <w:r w:rsidRPr="00047CB8">
              <w:rPr>
                <w:rFonts w:asciiTheme="minorHAnsi" w:hAnsiTheme="minorHAnsi"/>
                <w:sz w:val="20"/>
              </w:rPr>
              <w:t>Names</w:t>
            </w:r>
          </w:p>
        </w:tc>
        <w:tc>
          <w:tcPr>
            <w:tcW w:w="0" w:type="auto"/>
          </w:tcPr>
          <w:p w:rsidR="004F7D36" w:rsidRPr="00047CB8" w:rsidRDefault="004F7D36" w:rsidP="00AC3E32">
            <w:pPr>
              <w:pStyle w:val="BodyText"/>
              <w:tabs>
                <w:tab w:val="clear" w:pos="3330"/>
              </w:tabs>
              <w:rPr>
                <w:rFonts w:asciiTheme="minorHAnsi" w:hAnsiTheme="minorHAnsi"/>
                <w:sz w:val="20"/>
              </w:rPr>
            </w:pPr>
          </w:p>
        </w:tc>
        <w:tc>
          <w:tcPr>
            <w:tcW w:w="0" w:type="auto"/>
          </w:tcPr>
          <w:p w:rsidR="004F7D36" w:rsidRPr="00047CB8" w:rsidRDefault="004F7D36" w:rsidP="00AC3E32">
            <w:pPr>
              <w:pStyle w:val="BodyText"/>
              <w:tabs>
                <w:tab w:val="clear" w:pos="3330"/>
              </w:tabs>
              <w:rPr>
                <w:rFonts w:asciiTheme="minorHAnsi" w:hAnsiTheme="minorHAnsi"/>
                <w:sz w:val="20"/>
              </w:rPr>
            </w:pPr>
            <w:r w:rsidRPr="00047CB8">
              <w:rPr>
                <w:rFonts w:asciiTheme="minorHAnsi" w:hAnsiTheme="minorHAnsi"/>
                <w:sz w:val="20"/>
              </w:rPr>
              <w:t>Geographic Subdivision Smaller Than a State</w:t>
            </w:r>
          </w:p>
        </w:tc>
      </w:tr>
      <w:tr w:rsidR="004F7D36" w:rsidRPr="00047CB8" w:rsidTr="00AC3E32">
        <w:trPr>
          <w:jc w:val="center"/>
        </w:trPr>
        <w:tc>
          <w:tcPr>
            <w:tcW w:w="0" w:type="auto"/>
          </w:tcPr>
          <w:p w:rsidR="004F7D36" w:rsidRPr="00047CB8" w:rsidRDefault="004F7D36" w:rsidP="00AC3E32">
            <w:pPr>
              <w:pStyle w:val="BodyText"/>
              <w:tabs>
                <w:tab w:val="clear" w:pos="3330"/>
              </w:tabs>
              <w:rPr>
                <w:rFonts w:asciiTheme="minorHAnsi" w:hAnsiTheme="minorHAnsi"/>
                <w:sz w:val="20"/>
              </w:rPr>
            </w:pPr>
            <w:r w:rsidRPr="00047CB8">
              <w:rPr>
                <w:rFonts w:asciiTheme="minorHAnsi" w:hAnsiTheme="minorHAnsi"/>
                <w:sz w:val="20"/>
              </w:rPr>
              <w:t>Phone #s</w:t>
            </w:r>
          </w:p>
        </w:tc>
        <w:tc>
          <w:tcPr>
            <w:tcW w:w="0" w:type="auto"/>
          </w:tcPr>
          <w:p w:rsidR="004F7D36" w:rsidRPr="00047CB8" w:rsidRDefault="004F7D36" w:rsidP="00AC3E32">
            <w:pPr>
              <w:pStyle w:val="BodyText"/>
              <w:tabs>
                <w:tab w:val="clear" w:pos="3330"/>
              </w:tabs>
              <w:rPr>
                <w:rFonts w:asciiTheme="minorHAnsi" w:hAnsiTheme="minorHAnsi"/>
                <w:sz w:val="20"/>
              </w:rPr>
            </w:pPr>
          </w:p>
        </w:tc>
        <w:tc>
          <w:tcPr>
            <w:tcW w:w="0" w:type="auto"/>
          </w:tcPr>
          <w:p w:rsidR="004F7D36" w:rsidRPr="00047CB8" w:rsidRDefault="004F7D36" w:rsidP="00AC3E32">
            <w:pPr>
              <w:pStyle w:val="BodyText"/>
              <w:tabs>
                <w:tab w:val="clear" w:pos="3330"/>
              </w:tabs>
              <w:rPr>
                <w:rFonts w:asciiTheme="minorHAnsi" w:hAnsiTheme="minorHAnsi"/>
                <w:sz w:val="20"/>
              </w:rPr>
            </w:pPr>
            <w:r w:rsidRPr="00047CB8">
              <w:rPr>
                <w:rFonts w:asciiTheme="minorHAnsi" w:hAnsiTheme="minorHAnsi"/>
                <w:sz w:val="20"/>
              </w:rPr>
              <w:t>A</w:t>
            </w:r>
            <w:r>
              <w:rPr>
                <w:rFonts w:asciiTheme="minorHAnsi" w:hAnsiTheme="minorHAnsi"/>
                <w:sz w:val="20"/>
              </w:rPr>
              <w:t>ll Elements of Date Except Year</w:t>
            </w:r>
          </w:p>
        </w:tc>
      </w:tr>
      <w:tr w:rsidR="004F7D36" w:rsidRPr="00047CB8" w:rsidTr="00AC3E32">
        <w:trPr>
          <w:jc w:val="center"/>
        </w:trPr>
        <w:tc>
          <w:tcPr>
            <w:tcW w:w="0" w:type="auto"/>
          </w:tcPr>
          <w:p w:rsidR="004F7D36" w:rsidRPr="00047CB8" w:rsidRDefault="004F7D36" w:rsidP="00AC3E32">
            <w:pPr>
              <w:pStyle w:val="BodyText"/>
              <w:tabs>
                <w:tab w:val="clear" w:pos="3330"/>
              </w:tabs>
              <w:rPr>
                <w:rFonts w:asciiTheme="minorHAnsi" w:hAnsiTheme="minorHAnsi"/>
                <w:sz w:val="20"/>
              </w:rPr>
            </w:pPr>
            <w:r w:rsidRPr="00047CB8">
              <w:rPr>
                <w:rFonts w:asciiTheme="minorHAnsi" w:hAnsiTheme="minorHAnsi"/>
                <w:sz w:val="20"/>
              </w:rPr>
              <w:t>Fax #s</w:t>
            </w:r>
          </w:p>
        </w:tc>
        <w:tc>
          <w:tcPr>
            <w:tcW w:w="0" w:type="auto"/>
          </w:tcPr>
          <w:p w:rsidR="004F7D36" w:rsidRPr="00047CB8" w:rsidRDefault="004F7D36" w:rsidP="00AC3E32">
            <w:pPr>
              <w:pStyle w:val="BodyText"/>
              <w:tabs>
                <w:tab w:val="clear" w:pos="3330"/>
              </w:tabs>
              <w:rPr>
                <w:rFonts w:asciiTheme="minorHAnsi" w:hAnsiTheme="minorHAnsi"/>
                <w:sz w:val="20"/>
              </w:rPr>
            </w:pPr>
          </w:p>
        </w:tc>
        <w:tc>
          <w:tcPr>
            <w:tcW w:w="0" w:type="auto"/>
          </w:tcPr>
          <w:p w:rsidR="004F7D36" w:rsidRPr="00047CB8" w:rsidRDefault="004F7D36" w:rsidP="00AC3E32">
            <w:pPr>
              <w:pStyle w:val="BodyText"/>
              <w:tabs>
                <w:tab w:val="clear" w:pos="3330"/>
              </w:tabs>
              <w:rPr>
                <w:rFonts w:asciiTheme="minorHAnsi" w:hAnsiTheme="minorHAnsi"/>
                <w:sz w:val="20"/>
              </w:rPr>
            </w:pPr>
            <w:r w:rsidRPr="00047CB8">
              <w:rPr>
                <w:rFonts w:asciiTheme="minorHAnsi" w:hAnsiTheme="minorHAnsi"/>
                <w:sz w:val="20"/>
              </w:rPr>
              <w:t>E-mail Addresses</w:t>
            </w:r>
          </w:p>
        </w:tc>
      </w:tr>
      <w:tr w:rsidR="004F7D36" w:rsidRPr="00047CB8" w:rsidTr="00AC3E32">
        <w:trPr>
          <w:jc w:val="center"/>
        </w:trPr>
        <w:tc>
          <w:tcPr>
            <w:tcW w:w="0" w:type="auto"/>
          </w:tcPr>
          <w:p w:rsidR="004F7D36" w:rsidRPr="00047CB8" w:rsidRDefault="004F7D36" w:rsidP="00AC3E32">
            <w:pPr>
              <w:pStyle w:val="BodyText"/>
              <w:tabs>
                <w:tab w:val="clear" w:pos="3330"/>
              </w:tabs>
              <w:rPr>
                <w:rFonts w:asciiTheme="minorHAnsi" w:hAnsiTheme="minorHAnsi"/>
                <w:sz w:val="20"/>
              </w:rPr>
            </w:pPr>
            <w:r w:rsidRPr="00047CB8">
              <w:rPr>
                <w:rFonts w:asciiTheme="minorHAnsi" w:hAnsiTheme="minorHAnsi"/>
                <w:sz w:val="20"/>
              </w:rPr>
              <w:t>Social Security #s</w:t>
            </w:r>
          </w:p>
        </w:tc>
        <w:tc>
          <w:tcPr>
            <w:tcW w:w="0" w:type="auto"/>
          </w:tcPr>
          <w:p w:rsidR="004F7D36" w:rsidRPr="00047CB8" w:rsidRDefault="004F7D36" w:rsidP="00AC3E32">
            <w:pPr>
              <w:pStyle w:val="BodyText"/>
              <w:tabs>
                <w:tab w:val="clear" w:pos="3330"/>
              </w:tabs>
              <w:rPr>
                <w:rFonts w:asciiTheme="minorHAnsi" w:hAnsiTheme="minorHAnsi"/>
                <w:sz w:val="20"/>
              </w:rPr>
            </w:pPr>
          </w:p>
        </w:tc>
        <w:tc>
          <w:tcPr>
            <w:tcW w:w="0" w:type="auto"/>
          </w:tcPr>
          <w:p w:rsidR="004F7D36" w:rsidRPr="00047CB8" w:rsidRDefault="004F7D36" w:rsidP="00AC3E32">
            <w:pPr>
              <w:pStyle w:val="BodyText"/>
              <w:tabs>
                <w:tab w:val="clear" w:pos="3330"/>
              </w:tabs>
              <w:rPr>
                <w:rFonts w:asciiTheme="minorHAnsi" w:hAnsiTheme="minorHAnsi"/>
                <w:sz w:val="20"/>
              </w:rPr>
            </w:pPr>
            <w:r w:rsidRPr="00047CB8">
              <w:rPr>
                <w:rFonts w:asciiTheme="minorHAnsi" w:hAnsiTheme="minorHAnsi"/>
                <w:sz w:val="20"/>
              </w:rPr>
              <w:t>Medical Record #s</w:t>
            </w:r>
          </w:p>
        </w:tc>
      </w:tr>
      <w:tr w:rsidR="004F7D36" w:rsidRPr="00047CB8" w:rsidTr="00AC3E32">
        <w:trPr>
          <w:jc w:val="center"/>
        </w:trPr>
        <w:tc>
          <w:tcPr>
            <w:tcW w:w="0" w:type="auto"/>
          </w:tcPr>
          <w:p w:rsidR="004F7D36" w:rsidRPr="00047CB8" w:rsidRDefault="004F7D36" w:rsidP="00AC3E32">
            <w:pPr>
              <w:pStyle w:val="BodyText"/>
              <w:tabs>
                <w:tab w:val="clear" w:pos="3330"/>
              </w:tabs>
              <w:rPr>
                <w:rFonts w:asciiTheme="minorHAnsi" w:hAnsiTheme="minorHAnsi"/>
                <w:sz w:val="20"/>
              </w:rPr>
            </w:pPr>
            <w:r w:rsidRPr="00047CB8">
              <w:rPr>
                <w:rFonts w:asciiTheme="minorHAnsi" w:hAnsiTheme="minorHAnsi"/>
                <w:sz w:val="20"/>
              </w:rPr>
              <w:t xml:space="preserve">Account #s </w:t>
            </w:r>
          </w:p>
        </w:tc>
        <w:tc>
          <w:tcPr>
            <w:tcW w:w="0" w:type="auto"/>
          </w:tcPr>
          <w:p w:rsidR="004F7D36" w:rsidRPr="00047CB8" w:rsidRDefault="004F7D36" w:rsidP="00AC3E32">
            <w:pPr>
              <w:pStyle w:val="BodyText"/>
              <w:tabs>
                <w:tab w:val="clear" w:pos="3330"/>
              </w:tabs>
              <w:rPr>
                <w:rFonts w:asciiTheme="minorHAnsi" w:hAnsiTheme="minorHAnsi"/>
                <w:sz w:val="20"/>
              </w:rPr>
            </w:pPr>
          </w:p>
        </w:tc>
        <w:tc>
          <w:tcPr>
            <w:tcW w:w="0" w:type="auto"/>
          </w:tcPr>
          <w:p w:rsidR="004F7D36" w:rsidRPr="00047CB8" w:rsidRDefault="004F7D36" w:rsidP="00AC3E32">
            <w:pPr>
              <w:pStyle w:val="BodyText"/>
              <w:tabs>
                <w:tab w:val="clear" w:pos="3330"/>
              </w:tabs>
              <w:rPr>
                <w:rFonts w:asciiTheme="minorHAnsi" w:hAnsiTheme="minorHAnsi"/>
                <w:sz w:val="20"/>
              </w:rPr>
            </w:pPr>
            <w:r w:rsidRPr="00047CB8">
              <w:rPr>
                <w:rFonts w:asciiTheme="minorHAnsi" w:hAnsiTheme="minorHAnsi"/>
                <w:sz w:val="20"/>
              </w:rPr>
              <w:t>Health Plan Beneficiary #s</w:t>
            </w:r>
          </w:p>
        </w:tc>
      </w:tr>
      <w:tr w:rsidR="004F7D36" w:rsidRPr="00047CB8" w:rsidTr="00AC3E32">
        <w:trPr>
          <w:jc w:val="center"/>
        </w:trPr>
        <w:tc>
          <w:tcPr>
            <w:tcW w:w="0" w:type="auto"/>
          </w:tcPr>
          <w:p w:rsidR="004F7D36" w:rsidRPr="00047CB8" w:rsidRDefault="004F7D36" w:rsidP="00AC3E32">
            <w:pPr>
              <w:pStyle w:val="BodyText"/>
              <w:tabs>
                <w:tab w:val="clear" w:pos="3330"/>
              </w:tabs>
              <w:rPr>
                <w:rFonts w:asciiTheme="minorHAnsi" w:hAnsiTheme="minorHAnsi"/>
                <w:sz w:val="20"/>
              </w:rPr>
            </w:pPr>
            <w:r w:rsidRPr="00047CB8">
              <w:rPr>
                <w:rFonts w:asciiTheme="minorHAnsi" w:hAnsiTheme="minorHAnsi"/>
                <w:sz w:val="20"/>
              </w:rPr>
              <w:t>Certificate/License #s</w:t>
            </w:r>
          </w:p>
        </w:tc>
        <w:tc>
          <w:tcPr>
            <w:tcW w:w="0" w:type="auto"/>
          </w:tcPr>
          <w:p w:rsidR="004F7D36" w:rsidRPr="00047CB8" w:rsidRDefault="004F7D36" w:rsidP="00AC3E32">
            <w:pPr>
              <w:pStyle w:val="BodyText"/>
              <w:tabs>
                <w:tab w:val="clear" w:pos="3330"/>
              </w:tabs>
              <w:rPr>
                <w:rFonts w:asciiTheme="minorHAnsi" w:hAnsiTheme="minorHAnsi"/>
                <w:sz w:val="20"/>
              </w:rPr>
            </w:pPr>
          </w:p>
        </w:tc>
        <w:tc>
          <w:tcPr>
            <w:tcW w:w="0" w:type="auto"/>
          </w:tcPr>
          <w:p w:rsidR="004F7D36" w:rsidRPr="00047CB8" w:rsidRDefault="004F7D36" w:rsidP="00AC3E32">
            <w:pPr>
              <w:pStyle w:val="BodyText"/>
              <w:tabs>
                <w:tab w:val="clear" w:pos="3330"/>
              </w:tabs>
              <w:rPr>
                <w:rFonts w:asciiTheme="minorHAnsi" w:hAnsiTheme="minorHAnsi"/>
                <w:sz w:val="20"/>
              </w:rPr>
            </w:pPr>
            <w:r w:rsidRPr="00047CB8">
              <w:rPr>
                <w:rFonts w:asciiTheme="minorHAnsi" w:hAnsiTheme="minorHAnsi"/>
                <w:sz w:val="20"/>
              </w:rPr>
              <w:t>Vehicle Identifiers and Serial #s</w:t>
            </w:r>
          </w:p>
        </w:tc>
      </w:tr>
      <w:tr w:rsidR="004F7D36" w:rsidRPr="00047CB8" w:rsidTr="00AC3E32">
        <w:trPr>
          <w:jc w:val="center"/>
        </w:trPr>
        <w:tc>
          <w:tcPr>
            <w:tcW w:w="0" w:type="auto"/>
          </w:tcPr>
          <w:p w:rsidR="004F7D36" w:rsidRPr="00047CB8" w:rsidRDefault="004F7D36" w:rsidP="00AC3E32">
            <w:pPr>
              <w:pStyle w:val="BodyText"/>
              <w:tabs>
                <w:tab w:val="clear" w:pos="3330"/>
              </w:tabs>
              <w:rPr>
                <w:rFonts w:asciiTheme="minorHAnsi" w:hAnsiTheme="minorHAnsi"/>
                <w:sz w:val="20"/>
              </w:rPr>
            </w:pPr>
            <w:r w:rsidRPr="00047CB8">
              <w:rPr>
                <w:rFonts w:asciiTheme="minorHAnsi" w:hAnsiTheme="minorHAnsi"/>
                <w:sz w:val="20"/>
              </w:rPr>
              <w:t>Device Identifiers and Serial #s</w:t>
            </w:r>
          </w:p>
        </w:tc>
        <w:tc>
          <w:tcPr>
            <w:tcW w:w="0" w:type="auto"/>
          </w:tcPr>
          <w:p w:rsidR="004F7D36" w:rsidRPr="00047CB8" w:rsidRDefault="004F7D36" w:rsidP="00AC3E32">
            <w:pPr>
              <w:pStyle w:val="BodyText"/>
              <w:tabs>
                <w:tab w:val="clear" w:pos="3330"/>
              </w:tabs>
              <w:rPr>
                <w:rFonts w:asciiTheme="minorHAnsi" w:hAnsiTheme="minorHAnsi"/>
                <w:sz w:val="20"/>
              </w:rPr>
            </w:pPr>
          </w:p>
        </w:tc>
        <w:tc>
          <w:tcPr>
            <w:tcW w:w="0" w:type="auto"/>
          </w:tcPr>
          <w:p w:rsidR="004F7D36" w:rsidRPr="00047CB8" w:rsidRDefault="004F7D36" w:rsidP="00AC3E32">
            <w:pPr>
              <w:pStyle w:val="BodyText"/>
              <w:tabs>
                <w:tab w:val="clear" w:pos="3330"/>
              </w:tabs>
              <w:rPr>
                <w:rFonts w:asciiTheme="minorHAnsi" w:hAnsiTheme="minorHAnsi"/>
                <w:sz w:val="20"/>
              </w:rPr>
            </w:pPr>
            <w:r w:rsidRPr="00047CB8">
              <w:rPr>
                <w:rFonts w:asciiTheme="minorHAnsi" w:hAnsiTheme="minorHAnsi"/>
                <w:sz w:val="20"/>
              </w:rPr>
              <w:t>Web URLs</w:t>
            </w:r>
          </w:p>
        </w:tc>
      </w:tr>
      <w:tr w:rsidR="004F7D36" w:rsidRPr="00047CB8" w:rsidTr="00AC3E32">
        <w:trPr>
          <w:jc w:val="center"/>
        </w:trPr>
        <w:tc>
          <w:tcPr>
            <w:tcW w:w="0" w:type="auto"/>
          </w:tcPr>
          <w:p w:rsidR="004F7D36" w:rsidRPr="00047CB8" w:rsidRDefault="004F7D36" w:rsidP="00AC3E32">
            <w:pPr>
              <w:pStyle w:val="BodyText"/>
              <w:tabs>
                <w:tab w:val="clear" w:pos="3330"/>
              </w:tabs>
              <w:rPr>
                <w:rFonts w:asciiTheme="minorHAnsi" w:hAnsiTheme="minorHAnsi"/>
                <w:sz w:val="20"/>
              </w:rPr>
            </w:pPr>
            <w:r w:rsidRPr="00047CB8">
              <w:rPr>
                <w:rFonts w:asciiTheme="minorHAnsi" w:hAnsiTheme="minorHAnsi"/>
                <w:sz w:val="20"/>
              </w:rPr>
              <w:t>IP Addresses</w:t>
            </w:r>
          </w:p>
        </w:tc>
        <w:tc>
          <w:tcPr>
            <w:tcW w:w="0" w:type="auto"/>
          </w:tcPr>
          <w:p w:rsidR="004F7D36" w:rsidRPr="00047CB8" w:rsidRDefault="004F7D36" w:rsidP="00AC3E32">
            <w:pPr>
              <w:pStyle w:val="BodyText"/>
              <w:tabs>
                <w:tab w:val="clear" w:pos="3330"/>
              </w:tabs>
              <w:rPr>
                <w:rFonts w:asciiTheme="minorHAnsi" w:hAnsiTheme="minorHAnsi"/>
                <w:sz w:val="20"/>
              </w:rPr>
            </w:pPr>
          </w:p>
        </w:tc>
        <w:tc>
          <w:tcPr>
            <w:tcW w:w="0" w:type="auto"/>
          </w:tcPr>
          <w:p w:rsidR="004F7D36" w:rsidRPr="00047CB8" w:rsidRDefault="004F7D36" w:rsidP="00AC3E32">
            <w:pPr>
              <w:pStyle w:val="BodyText"/>
              <w:tabs>
                <w:tab w:val="clear" w:pos="3330"/>
              </w:tabs>
              <w:rPr>
                <w:rFonts w:asciiTheme="minorHAnsi" w:hAnsiTheme="minorHAnsi"/>
                <w:sz w:val="20"/>
              </w:rPr>
            </w:pPr>
            <w:r w:rsidRPr="00047CB8">
              <w:rPr>
                <w:rFonts w:asciiTheme="minorHAnsi" w:hAnsiTheme="minorHAnsi"/>
                <w:sz w:val="20"/>
              </w:rPr>
              <w:t>Biometric Identifiers</w:t>
            </w:r>
          </w:p>
        </w:tc>
      </w:tr>
      <w:tr w:rsidR="004F7D36" w:rsidRPr="00047CB8" w:rsidTr="00AC3E32">
        <w:trPr>
          <w:jc w:val="center"/>
        </w:trPr>
        <w:tc>
          <w:tcPr>
            <w:tcW w:w="0" w:type="auto"/>
          </w:tcPr>
          <w:p w:rsidR="004F7D36" w:rsidRPr="00047CB8" w:rsidRDefault="004F7D36" w:rsidP="00AC3E32">
            <w:pPr>
              <w:pStyle w:val="BodyText"/>
              <w:tabs>
                <w:tab w:val="clear" w:pos="3330"/>
              </w:tabs>
              <w:rPr>
                <w:rFonts w:asciiTheme="minorHAnsi" w:hAnsiTheme="minorHAnsi"/>
                <w:sz w:val="20"/>
              </w:rPr>
            </w:pPr>
            <w:r w:rsidRPr="00047CB8">
              <w:rPr>
                <w:rFonts w:asciiTheme="minorHAnsi" w:hAnsiTheme="minorHAnsi"/>
                <w:sz w:val="20"/>
              </w:rPr>
              <w:t>Photographic Images</w:t>
            </w:r>
          </w:p>
        </w:tc>
        <w:tc>
          <w:tcPr>
            <w:tcW w:w="0" w:type="auto"/>
          </w:tcPr>
          <w:p w:rsidR="004F7D36" w:rsidRPr="00047CB8" w:rsidRDefault="004F7D36" w:rsidP="00AC3E32">
            <w:pPr>
              <w:pStyle w:val="BodyText"/>
              <w:tabs>
                <w:tab w:val="clear" w:pos="3330"/>
              </w:tabs>
              <w:rPr>
                <w:rFonts w:asciiTheme="minorHAnsi" w:hAnsiTheme="minorHAnsi"/>
                <w:sz w:val="20"/>
              </w:rPr>
            </w:pPr>
          </w:p>
        </w:tc>
        <w:tc>
          <w:tcPr>
            <w:tcW w:w="0" w:type="auto"/>
          </w:tcPr>
          <w:p w:rsidR="004F7D36" w:rsidRPr="00047CB8" w:rsidRDefault="004F7D36" w:rsidP="00AC3E32">
            <w:pPr>
              <w:pStyle w:val="BodyText"/>
              <w:tabs>
                <w:tab w:val="clear" w:pos="3330"/>
              </w:tabs>
              <w:rPr>
                <w:rFonts w:asciiTheme="minorHAnsi" w:hAnsiTheme="minorHAnsi"/>
                <w:sz w:val="20"/>
              </w:rPr>
            </w:pPr>
            <w:r w:rsidRPr="00047CB8">
              <w:rPr>
                <w:rFonts w:asciiTheme="minorHAnsi" w:hAnsiTheme="minorHAnsi"/>
                <w:sz w:val="20"/>
              </w:rPr>
              <w:t>Any other unique identifying number, characteristic or code</w:t>
            </w:r>
          </w:p>
        </w:tc>
      </w:tr>
    </w:tbl>
    <w:p w:rsidR="004F7D36" w:rsidRPr="00047CB8" w:rsidRDefault="004F7D36" w:rsidP="004F7D36">
      <w:pPr>
        <w:spacing w:after="0" w:line="240" w:lineRule="auto"/>
        <w:rPr>
          <w:sz w:val="20"/>
          <w:szCs w:val="20"/>
        </w:rPr>
      </w:pPr>
    </w:p>
    <w:p w:rsidR="004F7D36" w:rsidRPr="00047CB8" w:rsidRDefault="004F7D36" w:rsidP="004F7D36">
      <w:pPr>
        <w:spacing w:after="0" w:line="240" w:lineRule="auto"/>
        <w:rPr>
          <w:b/>
          <w:sz w:val="20"/>
          <w:szCs w:val="20"/>
        </w:rPr>
      </w:pPr>
      <w:r>
        <w:rPr>
          <w:b/>
          <w:sz w:val="20"/>
          <w:szCs w:val="20"/>
        </w:rPr>
        <w:t xml:space="preserve">2 </w:t>
      </w:r>
      <w:r w:rsidR="00BD581D">
        <w:rPr>
          <w:b/>
          <w:sz w:val="20"/>
          <w:szCs w:val="20"/>
        </w:rPr>
        <w:t xml:space="preserve">- </w:t>
      </w:r>
      <w:r w:rsidR="00354350">
        <w:rPr>
          <w:b/>
          <w:sz w:val="20"/>
          <w:szCs w:val="20"/>
        </w:rPr>
        <w:t>O</w:t>
      </w:r>
      <w:r w:rsidR="00354350" w:rsidRPr="00047CB8">
        <w:rPr>
          <w:b/>
          <w:sz w:val="20"/>
          <w:szCs w:val="20"/>
        </w:rPr>
        <w:t xml:space="preserve">bligations </w:t>
      </w:r>
      <w:r>
        <w:rPr>
          <w:b/>
          <w:sz w:val="20"/>
          <w:szCs w:val="20"/>
        </w:rPr>
        <w:t xml:space="preserve">re </w:t>
      </w:r>
      <w:r w:rsidRPr="00047CB8">
        <w:rPr>
          <w:b/>
          <w:sz w:val="20"/>
          <w:szCs w:val="20"/>
        </w:rPr>
        <w:t xml:space="preserve">receipt of a limited data set under a data use agreement: </w:t>
      </w:r>
    </w:p>
    <w:p w:rsidR="004F7D36" w:rsidRPr="00047CB8" w:rsidRDefault="004F7D36" w:rsidP="004F7D36">
      <w:pPr>
        <w:pStyle w:val="ListParagraph"/>
        <w:numPr>
          <w:ilvl w:val="0"/>
          <w:numId w:val="13"/>
        </w:numPr>
        <w:spacing w:after="0" w:line="240" w:lineRule="auto"/>
        <w:rPr>
          <w:sz w:val="20"/>
          <w:szCs w:val="20"/>
        </w:rPr>
      </w:pPr>
      <w:r w:rsidRPr="00047CB8">
        <w:rPr>
          <w:sz w:val="20"/>
          <w:szCs w:val="20"/>
        </w:rPr>
        <w:t xml:space="preserve">Data Recipient agrees to not use or disclose the Limited Data Set other than as permitted or required by the </w:t>
      </w:r>
      <w:r>
        <w:rPr>
          <w:sz w:val="20"/>
          <w:szCs w:val="20"/>
        </w:rPr>
        <w:t xml:space="preserve">Data Use </w:t>
      </w:r>
      <w:r w:rsidRPr="00047CB8">
        <w:rPr>
          <w:sz w:val="20"/>
          <w:szCs w:val="20"/>
        </w:rPr>
        <w:t xml:space="preserve">Agreement </w:t>
      </w:r>
      <w:r>
        <w:rPr>
          <w:sz w:val="20"/>
          <w:szCs w:val="20"/>
        </w:rPr>
        <w:t xml:space="preserve">(DUA) </w:t>
      </w:r>
      <w:r w:rsidRPr="00047CB8">
        <w:rPr>
          <w:sz w:val="20"/>
          <w:szCs w:val="20"/>
        </w:rPr>
        <w:t xml:space="preserve">or as Required </w:t>
      </w:r>
      <w:proofErr w:type="gramStart"/>
      <w:r w:rsidRPr="00047CB8">
        <w:rPr>
          <w:sz w:val="20"/>
          <w:szCs w:val="20"/>
        </w:rPr>
        <w:t>By</w:t>
      </w:r>
      <w:proofErr w:type="gramEnd"/>
      <w:r w:rsidRPr="00047CB8">
        <w:rPr>
          <w:sz w:val="20"/>
          <w:szCs w:val="20"/>
        </w:rPr>
        <w:t xml:space="preserve"> Law.</w:t>
      </w:r>
    </w:p>
    <w:p w:rsidR="004F7D36" w:rsidRPr="00047CB8" w:rsidRDefault="004F7D36" w:rsidP="004F7D36">
      <w:pPr>
        <w:pStyle w:val="ListParagraph"/>
        <w:numPr>
          <w:ilvl w:val="0"/>
          <w:numId w:val="13"/>
        </w:numPr>
        <w:spacing w:after="0" w:line="240" w:lineRule="auto"/>
        <w:jc w:val="both"/>
        <w:rPr>
          <w:sz w:val="20"/>
          <w:szCs w:val="20"/>
        </w:rPr>
      </w:pPr>
      <w:r w:rsidRPr="00047CB8">
        <w:rPr>
          <w:sz w:val="20"/>
          <w:szCs w:val="20"/>
        </w:rPr>
        <w:t xml:space="preserve">Data Recipient agrees to use appropriate safeguards to prevent use or disclosure of the Limited Data Set other than as provided for by </w:t>
      </w:r>
      <w:r>
        <w:rPr>
          <w:sz w:val="20"/>
          <w:szCs w:val="20"/>
        </w:rPr>
        <w:t>the DUA</w:t>
      </w:r>
      <w:r w:rsidRPr="00047CB8">
        <w:rPr>
          <w:sz w:val="20"/>
          <w:szCs w:val="20"/>
        </w:rPr>
        <w:t>.</w:t>
      </w:r>
    </w:p>
    <w:p w:rsidR="004F7D36" w:rsidRPr="00047CB8" w:rsidRDefault="004F7D36" w:rsidP="004F7D36">
      <w:pPr>
        <w:pStyle w:val="ListParagraph"/>
        <w:numPr>
          <w:ilvl w:val="0"/>
          <w:numId w:val="13"/>
        </w:numPr>
        <w:spacing w:after="0" w:line="240" w:lineRule="auto"/>
        <w:jc w:val="both"/>
        <w:rPr>
          <w:sz w:val="20"/>
          <w:szCs w:val="20"/>
        </w:rPr>
      </w:pPr>
      <w:r w:rsidRPr="00047CB8">
        <w:rPr>
          <w:sz w:val="20"/>
          <w:szCs w:val="20"/>
        </w:rPr>
        <w:t xml:space="preserve">Data Recipient agrees to report to Covered Entity any use or disclosure of the Limited Data Set not provided for by </w:t>
      </w:r>
      <w:r>
        <w:rPr>
          <w:sz w:val="20"/>
          <w:szCs w:val="20"/>
        </w:rPr>
        <w:t>the DUA</w:t>
      </w:r>
      <w:r w:rsidRPr="00047CB8">
        <w:rPr>
          <w:sz w:val="20"/>
          <w:szCs w:val="20"/>
        </w:rPr>
        <w:t xml:space="preserve"> of which it becomes aware.</w:t>
      </w:r>
    </w:p>
    <w:p w:rsidR="004F7D36" w:rsidRDefault="004F7D36" w:rsidP="004F7D36">
      <w:pPr>
        <w:pStyle w:val="ListParagraph"/>
        <w:numPr>
          <w:ilvl w:val="0"/>
          <w:numId w:val="13"/>
        </w:numPr>
        <w:spacing w:after="0" w:line="240" w:lineRule="auto"/>
        <w:jc w:val="both"/>
        <w:rPr>
          <w:sz w:val="20"/>
          <w:szCs w:val="20"/>
        </w:rPr>
      </w:pPr>
      <w:r w:rsidRPr="00047CB8">
        <w:rPr>
          <w:sz w:val="20"/>
          <w:szCs w:val="20"/>
        </w:rPr>
        <w:t xml:space="preserve">Data Recipient agrees to ensure that any agent, including a subcontractor, to whom it provides the Limited Data Set received from Covered Entity agrees to the same restrictions and conditions that apply through </w:t>
      </w:r>
      <w:r>
        <w:rPr>
          <w:sz w:val="20"/>
          <w:szCs w:val="20"/>
        </w:rPr>
        <w:t>the DUA</w:t>
      </w:r>
      <w:r w:rsidRPr="00047CB8">
        <w:rPr>
          <w:sz w:val="20"/>
          <w:szCs w:val="20"/>
        </w:rPr>
        <w:t xml:space="preserve"> to Data Recipient with respect to such information.</w:t>
      </w:r>
    </w:p>
    <w:p w:rsidR="004F7D36" w:rsidRPr="007A4568" w:rsidRDefault="004F7D36" w:rsidP="004F7D36">
      <w:pPr>
        <w:pStyle w:val="ListParagraph"/>
        <w:numPr>
          <w:ilvl w:val="0"/>
          <w:numId w:val="13"/>
        </w:numPr>
        <w:spacing w:after="0" w:line="240" w:lineRule="auto"/>
        <w:jc w:val="both"/>
        <w:rPr>
          <w:sz w:val="20"/>
          <w:szCs w:val="20"/>
        </w:rPr>
      </w:pPr>
      <w:r w:rsidRPr="007A4568">
        <w:rPr>
          <w:sz w:val="20"/>
          <w:szCs w:val="20"/>
        </w:rPr>
        <w:t>Data Recipient agrees not to identify the information or contact the individuals</w:t>
      </w:r>
    </w:p>
    <w:p w:rsidR="004F7D36" w:rsidRPr="007A4568" w:rsidRDefault="004F7D36" w:rsidP="004F7D36">
      <w:pPr>
        <w:pStyle w:val="ListParagraph"/>
        <w:numPr>
          <w:ilvl w:val="0"/>
          <w:numId w:val="13"/>
        </w:numPr>
        <w:spacing w:after="0" w:line="240" w:lineRule="auto"/>
        <w:jc w:val="both"/>
        <w:rPr>
          <w:sz w:val="20"/>
          <w:szCs w:val="20"/>
        </w:rPr>
      </w:pPr>
      <w:r w:rsidRPr="007A4568">
        <w:rPr>
          <w:sz w:val="20"/>
          <w:szCs w:val="20"/>
        </w:rPr>
        <w:t xml:space="preserve">Data Recipient, and any of his/her agents, including a subcontractor, to whom they provide Limited Data Set information received from Covered Entity, must agree to the restrictions and conditions that apply through the </w:t>
      </w:r>
      <w:r>
        <w:rPr>
          <w:sz w:val="20"/>
          <w:szCs w:val="20"/>
        </w:rPr>
        <w:t>DUA</w:t>
      </w:r>
      <w:r w:rsidRPr="007A4568">
        <w:rPr>
          <w:sz w:val="20"/>
          <w:szCs w:val="20"/>
        </w:rPr>
        <w:t xml:space="preserve"> with respect to such information.</w:t>
      </w:r>
    </w:p>
    <w:p w:rsidR="004F7D36" w:rsidRPr="007A4568" w:rsidRDefault="004F7D36" w:rsidP="004F7D36">
      <w:pPr>
        <w:pStyle w:val="ListParagraph"/>
        <w:numPr>
          <w:ilvl w:val="0"/>
          <w:numId w:val="13"/>
        </w:numPr>
        <w:spacing w:after="0" w:line="240" w:lineRule="auto"/>
        <w:jc w:val="both"/>
        <w:rPr>
          <w:sz w:val="20"/>
          <w:szCs w:val="20"/>
        </w:rPr>
      </w:pPr>
      <w:r w:rsidRPr="007A4568">
        <w:rPr>
          <w:sz w:val="20"/>
          <w:szCs w:val="20"/>
        </w:rPr>
        <w:t xml:space="preserve">Except as otherwise limited in a </w:t>
      </w:r>
      <w:r>
        <w:rPr>
          <w:sz w:val="20"/>
          <w:szCs w:val="20"/>
        </w:rPr>
        <w:t>DUA</w:t>
      </w:r>
      <w:r w:rsidRPr="007A4568">
        <w:rPr>
          <w:sz w:val="20"/>
          <w:szCs w:val="20"/>
        </w:rPr>
        <w:t>, Data Recipient may use or disclose Limited Data Set to perform research functions, activities, or services</w:t>
      </w:r>
      <w:r w:rsidRPr="007A4568">
        <w:rPr>
          <w:rFonts w:ascii="Arial" w:hAnsi="Arial"/>
          <w:b/>
          <w:color w:val="0000FF"/>
          <w:sz w:val="20"/>
          <w:szCs w:val="20"/>
        </w:rPr>
        <w:t xml:space="preserve"> </w:t>
      </w:r>
      <w:r w:rsidRPr="007A4568">
        <w:rPr>
          <w:sz w:val="20"/>
          <w:szCs w:val="20"/>
        </w:rPr>
        <w:t xml:space="preserve">provided that such use or disclosure would not violate the Privacy Rule if done by Covered Entity. </w:t>
      </w:r>
    </w:p>
    <w:p w:rsidR="00DA417E" w:rsidRPr="00A861A1" w:rsidRDefault="00DA417E" w:rsidP="00DA417E">
      <w:pPr>
        <w:rPr>
          <w:sz w:val="20"/>
          <w:szCs w:val="20"/>
        </w:rPr>
      </w:pPr>
    </w:p>
    <w:p w:rsidR="00DA417E" w:rsidRDefault="004F7D36" w:rsidP="00BD581D">
      <w:pPr>
        <w:ind w:left="360" w:hanging="360"/>
        <w:rPr>
          <w:sz w:val="20"/>
          <w:szCs w:val="20"/>
        </w:rPr>
      </w:pPr>
      <w:r>
        <w:rPr>
          <w:sz w:val="20"/>
          <w:szCs w:val="20"/>
        </w:rPr>
        <w:t>3</w:t>
      </w:r>
      <w:r w:rsidR="00DA417E" w:rsidRPr="00DB1029">
        <w:rPr>
          <w:sz w:val="20"/>
          <w:szCs w:val="20"/>
        </w:rPr>
        <w:t>:</w:t>
      </w:r>
      <w:r w:rsidR="00DA417E">
        <w:rPr>
          <w:sz w:val="20"/>
          <w:szCs w:val="20"/>
        </w:rPr>
        <w:tab/>
      </w:r>
      <w:r w:rsidR="00DA417E" w:rsidRPr="00A774AC">
        <w:rPr>
          <w:sz w:val="20"/>
          <w:szCs w:val="20"/>
        </w:rPr>
        <w:t xml:space="preserve">Within the program used to make IRB submissions (IRIS) The Jackson Laboratory is referenced in different ways.  The account to be used to allow JAX to be identified in the Administrative Oversight section on the application form had to be set up as an individual user account and is under the name </w:t>
      </w:r>
      <w:r w:rsidR="00DA417E" w:rsidRPr="00D11F52">
        <w:rPr>
          <w:b/>
          <w:sz w:val="20"/>
          <w:szCs w:val="20"/>
        </w:rPr>
        <w:t>Jackson Labs</w:t>
      </w:r>
      <w:r w:rsidR="00DA417E" w:rsidRPr="00A774AC">
        <w:rPr>
          <w:sz w:val="20"/>
          <w:szCs w:val="20"/>
        </w:rPr>
        <w:t xml:space="preserve">.  In order for JAX to be able to be listed as a funding source the name has to exist on a table value within </w:t>
      </w:r>
      <w:proofErr w:type="gramStart"/>
      <w:r w:rsidR="00DA417E" w:rsidRPr="00A774AC">
        <w:rPr>
          <w:sz w:val="20"/>
          <w:szCs w:val="20"/>
        </w:rPr>
        <w:t>IRIS,</w:t>
      </w:r>
      <w:proofErr w:type="gramEnd"/>
      <w:r w:rsidR="00DA417E" w:rsidRPr="00A774AC">
        <w:rPr>
          <w:sz w:val="20"/>
          <w:szCs w:val="20"/>
        </w:rPr>
        <w:t xml:space="preserve"> and that value is noted as </w:t>
      </w:r>
      <w:r w:rsidR="00DA417E" w:rsidRPr="00D11F52">
        <w:rPr>
          <w:b/>
          <w:sz w:val="20"/>
          <w:szCs w:val="20"/>
        </w:rPr>
        <w:t>Jackson Laboratory</w:t>
      </w:r>
      <w:r w:rsidR="00DA417E" w:rsidRPr="00A774AC">
        <w:rPr>
          <w:sz w:val="20"/>
          <w:szCs w:val="20"/>
        </w:rPr>
        <w:t xml:space="preserve">. </w:t>
      </w:r>
    </w:p>
    <w:p w:rsidR="00DA417E" w:rsidRPr="00A861A1" w:rsidRDefault="004F7D36" w:rsidP="00BD581D">
      <w:pPr>
        <w:ind w:left="360" w:hanging="360"/>
        <w:rPr>
          <w:sz w:val="20"/>
          <w:szCs w:val="20"/>
        </w:rPr>
      </w:pPr>
      <w:r>
        <w:rPr>
          <w:sz w:val="20"/>
          <w:szCs w:val="20"/>
        </w:rPr>
        <w:t>4</w:t>
      </w:r>
      <w:r w:rsidR="00DA417E">
        <w:rPr>
          <w:sz w:val="20"/>
          <w:szCs w:val="20"/>
        </w:rPr>
        <w:t xml:space="preserve">.  </w:t>
      </w:r>
      <w:r w:rsidR="00BD581D">
        <w:rPr>
          <w:sz w:val="20"/>
          <w:szCs w:val="20"/>
        </w:rPr>
        <w:tab/>
      </w:r>
      <w:r w:rsidR="00DA417E">
        <w:rPr>
          <w:sz w:val="20"/>
          <w:szCs w:val="20"/>
        </w:rPr>
        <w:t>If the sharing of data is not possible (i.e. crit</w:t>
      </w:r>
      <w:r w:rsidR="00253319">
        <w:rPr>
          <w:sz w:val="20"/>
          <w:szCs w:val="20"/>
        </w:rPr>
        <w:t>eria noted in Appendix E cannot</w:t>
      </w:r>
      <w:r w:rsidR="00DA417E">
        <w:rPr>
          <w:sz w:val="20"/>
          <w:szCs w:val="20"/>
        </w:rPr>
        <w:t xml:space="preserve"> be met), justification for why the criteria cannot be met</w:t>
      </w:r>
      <w:r w:rsidR="00253319">
        <w:rPr>
          <w:sz w:val="20"/>
          <w:szCs w:val="20"/>
        </w:rPr>
        <w:t>, and a suggested alternative for sharing the data</w:t>
      </w:r>
      <w:r w:rsidR="00DA417E">
        <w:rPr>
          <w:sz w:val="20"/>
          <w:szCs w:val="20"/>
        </w:rPr>
        <w:t xml:space="preserve"> is to be included in the </w:t>
      </w:r>
      <w:r w:rsidR="00253319">
        <w:rPr>
          <w:sz w:val="20"/>
          <w:szCs w:val="20"/>
        </w:rPr>
        <w:t xml:space="preserve">IRB submission, just as it is required by NIH policy for the grant submission. </w:t>
      </w:r>
      <w:r w:rsidR="00DA417E">
        <w:rPr>
          <w:sz w:val="20"/>
          <w:szCs w:val="20"/>
        </w:rPr>
        <w:t xml:space="preserve"> </w:t>
      </w:r>
    </w:p>
    <w:sectPr w:rsidR="00DA417E" w:rsidRPr="00A861A1" w:rsidSect="00FA2D8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FFB" w:rsidRDefault="000D5FFB" w:rsidP="00567E5C">
      <w:pPr>
        <w:spacing w:after="0" w:line="240" w:lineRule="auto"/>
      </w:pPr>
      <w:r>
        <w:separator/>
      </w:r>
    </w:p>
  </w:endnote>
  <w:endnote w:type="continuationSeparator" w:id="0">
    <w:p w:rsidR="000D5FFB" w:rsidRDefault="000D5FFB" w:rsidP="0056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2" w:rsidRDefault="00D11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5C" w:rsidRDefault="00D11F52">
    <w:pPr>
      <w:pStyle w:val="Footer"/>
      <w:jc w:val="center"/>
    </w:pPr>
    <w:sdt>
      <w:sdtPr>
        <w:id w:val="841742418"/>
        <w:docPartObj>
          <w:docPartGallery w:val="Page Numbers (Bottom of Page)"/>
          <w:docPartUnique/>
        </w:docPartObj>
      </w:sdtPr>
      <w:sdtEndPr/>
      <w:sdtContent>
        <w:sdt>
          <w:sdtPr>
            <w:id w:val="-1669238322"/>
            <w:docPartObj>
              <w:docPartGallery w:val="Page Numbers (Top of Page)"/>
              <w:docPartUnique/>
            </w:docPartObj>
          </w:sdtPr>
          <w:sdtEndPr/>
          <w:sdtContent>
            <w:r w:rsidR="00567E5C">
              <w:t xml:space="preserve">Page </w:t>
            </w:r>
            <w:r w:rsidR="00567E5C">
              <w:rPr>
                <w:b/>
                <w:bCs/>
                <w:sz w:val="24"/>
                <w:szCs w:val="24"/>
              </w:rPr>
              <w:fldChar w:fldCharType="begin"/>
            </w:r>
            <w:r w:rsidR="00567E5C">
              <w:rPr>
                <w:b/>
                <w:bCs/>
              </w:rPr>
              <w:instrText xml:space="preserve"> PAGE </w:instrText>
            </w:r>
            <w:r w:rsidR="00567E5C">
              <w:rPr>
                <w:b/>
                <w:bCs/>
                <w:sz w:val="24"/>
                <w:szCs w:val="24"/>
              </w:rPr>
              <w:fldChar w:fldCharType="separate"/>
            </w:r>
            <w:r>
              <w:rPr>
                <w:b/>
                <w:bCs/>
                <w:noProof/>
              </w:rPr>
              <w:t>5</w:t>
            </w:r>
            <w:r w:rsidR="00567E5C">
              <w:rPr>
                <w:b/>
                <w:bCs/>
                <w:sz w:val="24"/>
                <w:szCs w:val="24"/>
              </w:rPr>
              <w:fldChar w:fldCharType="end"/>
            </w:r>
            <w:r w:rsidR="00567E5C">
              <w:t xml:space="preserve"> of </w:t>
            </w:r>
            <w:r w:rsidR="00567E5C">
              <w:rPr>
                <w:b/>
                <w:bCs/>
                <w:sz w:val="24"/>
                <w:szCs w:val="24"/>
              </w:rPr>
              <w:fldChar w:fldCharType="begin"/>
            </w:r>
            <w:r w:rsidR="00567E5C">
              <w:rPr>
                <w:b/>
                <w:bCs/>
              </w:rPr>
              <w:instrText xml:space="preserve"> NUMPAGES  </w:instrText>
            </w:r>
            <w:r w:rsidR="00567E5C">
              <w:rPr>
                <w:b/>
                <w:bCs/>
                <w:sz w:val="24"/>
                <w:szCs w:val="24"/>
              </w:rPr>
              <w:fldChar w:fldCharType="separate"/>
            </w:r>
            <w:r>
              <w:rPr>
                <w:b/>
                <w:bCs/>
                <w:noProof/>
              </w:rPr>
              <w:t>5</w:t>
            </w:r>
            <w:r w:rsidR="00567E5C">
              <w:rPr>
                <w:b/>
                <w:bCs/>
                <w:sz w:val="24"/>
                <w:szCs w:val="24"/>
              </w:rPr>
              <w:fldChar w:fldCharType="end"/>
            </w:r>
          </w:sdtContent>
        </w:sdt>
      </w:sdtContent>
    </w:sdt>
  </w:p>
  <w:p w:rsidR="00567E5C" w:rsidRDefault="00C4254F">
    <w:pPr>
      <w:pStyle w:val="Footer"/>
    </w:pPr>
    <w:fldSimple w:instr=" FILENAME  \p  \* MERGEFORMAT ">
      <w:r w:rsidR="008E20E8">
        <w:rPr>
          <w:noProof/>
        </w:rPr>
        <w:t>X:\Jackson_Labs\GUIDELINES FOR RESEARCH COLLABORATIONS.docx</w:t>
      </w:r>
    </w:fldSimple>
    <w:r w:rsidR="00FA2D80">
      <w:tab/>
    </w:r>
    <w:r w:rsidR="0017551F">
      <w:t xml:space="preserve">Rev. </w:t>
    </w:r>
    <w:r w:rsidR="00D11F52">
      <w:t>6/29/</w:t>
    </w:r>
    <w:bookmarkStart w:id="0" w:name="_GoBack"/>
    <w:bookmarkEnd w:id="0"/>
    <w:r w:rsidR="0017551F">
      <w:t xml:space="preserve">2016, </w:t>
    </w:r>
    <w:r w:rsidR="00FA2D80">
      <w:t>9/9/2014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2" w:rsidRDefault="00D11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FFB" w:rsidRDefault="000D5FFB" w:rsidP="00567E5C">
      <w:pPr>
        <w:spacing w:after="0" w:line="240" w:lineRule="auto"/>
      </w:pPr>
      <w:r>
        <w:separator/>
      </w:r>
    </w:p>
  </w:footnote>
  <w:footnote w:type="continuationSeparator" w:id="0">
    <w:p w:rsidR="000D5FFB" w:rsidRDefault="000D5FFB" w:rsidP="00567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2" w:rsidRDefault="00D11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2" w:rsidRDefault="00D11F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2" w:rsidRDefault="00D11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CF0"/>
    <w:multiLevelType w:val="hybridMultilevel"/>
    <w:tmpl w:val="E53E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37C9B"/>
    <w:multiLevelType w:val="hybridMultilevel"/>
    <w:tmpl w:val="4E5EBFB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91B04D8"/>
    <w:multiLevelType w:val="hybridMultilevel"/>
    <w:tmpl w:val="FE1AD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E571A"/>
    <w:multiLevelType w:val="hybridMultilevel"/>
    <w:tmpl w:val="7B0CF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73EDB"/>
    <w:multiLevelType w:val="hybridMultilevel"/>
    <w:tmpl w:val="82B4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5D2"/>
    <w:multiLevelType w:val="hybridMultilevel"/>
    <w:tmpl w:val="E81E4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F549C"/>
    <w:multiLevelType w:val="hybridMultilevel"/>
    <w:tmpl w:val="62584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A71AEB"/>
    <w:multiLevelType w:val="hybridMultilevel"/>
    <w:tmpl w:val="C2D63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A3092"/>
    <w:multiLevelType w:val="hybridMultilevel"/>
    <w:tmpl w:val="15908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0D65C2"/>
    <w:multiLevelType w:val="hybridMultilevel"/>
    <w:tmpl w:val="04022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0598B"/>
    <w:multiLevelType w:val="hybridMultilevel"/>
    <w:tmpl w:val="D8443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A57D7"/>
    <w:multiLevelType w:val="hybridMultilevel"/>
    <w:tmpl w:val="53765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D83338"/>
    <w:multiLevelType w:val="multilevel"/>
    <w:tmpl w:val="B178B852"/>
    <w:lvl w:ilvl="0">
      <w:start w:val="1"/>
      <w:numFmt w:val="decimal"/>
      <w:lvlText w:val="%1."/>
      <w:lvlJc w:val="left"/>
      <w:pPr>
        <w:tabs>
          <w:tab w:val="num" w:pos="360"/>
        </w:tabs>
        <w:ind w:left="360" w:hanging="360"/>
      </w:pPr>
      <w:rPr>
        <w:rFonts w:ascii="Times New Roman Bold" w:hAnsi="CG Times" w:hint="default"/>
        <w:b/>
        <w:i w:val="0"/>
        <w:sz w:val="24"/>
      </w:rPr>
    </w:lvl>
    <w:lvl w:ilvl="1">
      <w:start w:val="1"/>
      <w:numFmt w:val="lowerLetter"/>
      <w:lvlText w:val="(%2)"/>
      <w:lvlJc w:val="left"/>
      <w:pPr>
        <w:tabs>
          <w:tab w:val="num" w:pos="720"/>
        </w:tabs>
        <w:ind w:left="720" w:hanging="360"/>
      </w:pPr>
      <w:rPr>
        <w:rFonts w:ascii="Times New Roman Bold" w:hAnsi="CG Times" w:hint="default"/>
        <w:b/>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3824043"/>
    <w:multiLevelType w:val="hybridMultilevel"/>
    <w:tmpl w:val="F2A6922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72684AE4"/>
    <w:multiLevelType w:val="hybridMultilevel"/>
    <w:tmpl w:val="AC5A8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0545C0"/>
    <w:multiLevelType w:val="hybridMultilevel"/>
    <w:tmpl w:val="2528D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8"/>
  </w:num>
  <w:num w:numId="4">
    <w:abstractNumId w:val="5"/>
  </w:num>
  <w:num w:numId="5">
    <w:abstractNumId w:val="7"/>
  </w:num>
  <w:num w:numId="6">
    <w:abstractNumId w:val="6"/>
  </w:num>
  <w:num w:numId="7">
    <w:abstractNumId w:val="11"/>
  </w:num>
  <w:num w:numId="8">
    <w:abstractNumId w:val="3"/>
  </w:num>
  <w:num w:numId="9">
    <w:abstractNumId w:val="0"/>
  </w:num>
  <w:num w:numId="10">
    <w:abstractNumId w:val="9"/>
  </w:num>
  <w:num w:numId="11">
    <w:abstractNumId w:val="1"/>
  </w:num>
  <w:num w:numId="12">
    <w:abstractNumId w:val="12"/>
  </w:num>
  <w:num w:numId="13">
    <w:abstractNumId w:val="4"/>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31"/>
    <w:rsid w:val="00002E6C"/>
    <w:rsid w:val="0000362A"/>
    <w:rsid w:val="00011F49"/>
    <w:rsid w:val="00036545"/>
    <w:rsid w:val="00047CB8"/>
    <w:rsid w:val="00095A71"/>
    <w:rsid w:val="000D5FFB"/>
    <w:rsid w:val="000E6C93"/>
    <w:rsid w:val="0012079F"/>
    <w:rsid w:val="0017551F"/>
    <w:rsid w:val="0018275B"/>
    <w:rsid w:val="001F09EE"/>
    <w:rsid w:val="001F2B6A"/>
    <w:rsid w:val="00253319"/>
    <w:rsid w:val="002B15F7"/>
    <w:rsid w:val="002C07A4"/>
    <w:rsid w:val="002C4E38"/>
    <w:rsid w:val="003004E5"/>
    <w:rsid w:val="00317508"/>
    <w:rsid w:val="003178AB"/>
    <w:rsid w:val="003215CA"/>
    <w:rsid w:val="00354350"/>
    <w:rsid w:val="003D5F89"/>
    <w:rsid w:val="003E20C7"/>
    <w:rsid w:val="003E79B6"/>
    <w:rsid w:val="004633A1"/>
    <w:rsid w:val="00487C31"/>
    <w:rsid w:val="004968EB"/>
    <w:rsid w:val="004A4C6D"/>
    <w:rsid w:val="004F7D36"/>
    <w:rsid w:val="005138DE"/>
    <w:rsid w:val="00542ABB"/>
    <w:rsid w:val="00567B2C"/>
    <w:rsid w:val="00567E5C"/>
    <w:rsid w:val="006A560F"/>
    <w:rsid w:val="006E2511"/>
    <w:rsid w:val="00754BF4"/>
    <w:rsid w:val="007721C7"/>
    <w:rsid w:val="007932A3"/>
    <w:rsid w:val="007A4568"/>
    <w:rsid w:val="008073B3"/>
    <w:rsid w:val="00834EC7"/>
    <w:rsid w:val="00835272"/>
    <w:rsid w:val="008C4155"/>
    <w:rsid w:val="008E20E8"/>
    <w:rsid w:val="00902BEB"/>
    <w:rsid w:val="00924D79"/>
    <w:rsid w:val="00926A2E"/>
    <w:rsid w:val="00933ED4"/>
    <w:rsid w:val="00962C5A"/>
    <w:rsid w:val="00971C52"/>
    <w:rsid w:val="009B1B3C"/>
    <w:rsid w:val="009D6F08"/>
    <w:rsid w:val="00A003A2"/>
    <w:rsid w:val="00A13B3C"/>
    <w:rsid w:val="00A861A1"/>
    <w:rsid w:val="00AD5835"/>
    <w:rsid w:val="00B16A28"/>
    <w:rsid w:val="00BD581D"/>
    <w:rsid w:val="00C01EE0"/>
    <w:rsid w:val="00C04F6F"/>
    <w:rsid w:val="00C16D72"/>
    <w:rsid w:val="00C4254F"/>
    <w:rsid w:val="00C50B0E"/>
    <w:rsid w:val="00CB2F9E"/>
    <w:rsid w:val="00CC40E9"/>
    <w:rsid w:val="00D11F52"/>
    <w:rsid w:val="00D27D87"/>
    <w:rsid w:val="00D71F5B"/>
    <w:rsid w:val="00DA380E"/>
    <w:rsid w:val="00DA417E"/>
    <w:rsid w:val="00DA5DD7"/>
    <w:rsid w:val="00DB1029"/>
    <w:rsid w:val="00DD1303"/>
    <w:rsid w:val="00DF0FDF"/>
    <w:rsid w:val="00E7004F"/>
    <w:rsid w:val="00EF4D91"/>
    <w:rsid w:val="00F34A62"/>
    <w:rsid w:val="00FA2D80"/>
    <w:rsid w:val="00FB41A6"/>
    <w:rsid w:val="00FF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8EB"/>
    <w:pPr>
      <w:ind w:left="720"/>
      <w:contextualSpacing/>
    </w:pPr>
  </w:style>
  <w:style w:type="paragraph" w:styleId="BodyText">
    <w:name w:val="Body Text"/>
    <w:basedOn w:val="Normal"/>
    <w:link w:val="BodyTextChar"/>
    <w:semiHidden/>
    <w:rsid w:val="00D27D87"/>
    <w:pPr>
      <w:tabs>
        <w:tab w:val="left" w:pos="333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D27D87"/>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FB41A6"/>
    <w:pPr>
      <w:spacing w:after="120" w:line="480" w:lineRule="auto"/>
    </w:pPr>
  </w:style>
  <w:style w:type="character" w:customStyle="1" w:styleId="BodyText2Char">
    <w:name w:val="Body Text 2 Char"/>
    <w:basedOn w:val="DefaultParagraphFont"/>
    <w:link w:val="BodyText2"/>
    <w:uiPriority w:val="99"/>
    <w:semiHidden/>
    <w:rsid w:val="00FB41A6"/>
  </w:style>
  <w:style w:type="character" w:styleId="CommentReference">
    <w:name w:val="annotation reference"/>
    <w:basedOn w:val="DefaultParagraphFont"/>
    <w:uiPriority w:val="99"/>
    <w:semiHidden/>
    <w:unhideWhenUsed/>
    <w:rsid w:val="00047CB8"/>
    <w:rPr>
      <w:sz w:val="16"/>
      <w:szCs w:val="16"/>
    </w:rPr>
  </w:style>
  <w:style w:type="paragraph" w:styleId="CommentText">
    <w:name w:val="annotation text"/>
    <w:basedOn w:val="Normal"/>
    <w:link w:val="CommentTextChar"/>
    <w:uiPriority w:val="99"/>
    <w:semiHidden/>
    <w:unhideWhenUsed/>
    <w:rsid w:val="00047CB8"/>
    <w:pPr>
      <w:spacing w:line="240" w:lineRule="auto"/>
    </w:pPr>
    <w:rPr>
      <w:sz w:val="20"/>
      <w:szCs w:val="20"/>
    </w:rPr>
  </w:style>
  <w:style w:type="character" w:customStyle="1" w:styleId="CommentTextChar">
    <w:name w:val="Comment Text Char"/>
    <w:basedOn w:val="DefaultParagraphFont"/>
    <w:link w:val="CommentText"/>
    <w:uiPriority w:val="99"/>
    <w:semiHidden/>
    <w:rsid w:val="00047CB8"/>
    <w:rPr>
      <w:sz w:val="20"/>
      <w:szCs w:val="20"/>
    </w:rPr>
  </w:style>
  <w:style w:type="character" w:styleId="Hyperlink">
    <w:name w:val="Hyperlink"/>
    <w:basedOn w:val="DefaultParagraphFont"/>
    <w:uiPriority w:val="99"/>
    <w:unhideWhenUsed/>
    <w:rsid w:val="00047CB8"/>
    <w:rPr>
      <w:color w:val="0000FF" w:themeColor="hyperlink"/>
      <w:u w:val="single"/>
    </w:rPr>
  </w:style>
  <w:style w:type="paragraph" w:styleId="BalloonText">
    <w:name w:val="Balloon Text"/>
    <w:basedOn w:val="Normal"/>
    <w:link w:val="BalloonTextChar"/>
    <w:uiPriority w:val="99"/>
    <w:semiHidden/>
    <w:unhideWhenUsed/>
    <w:rsid w:val="00047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B8"/>
    <w:rPr>
      <w:rFonts w:ascii="Tahoma" w:hAnsi="Tahoma" w:cs="Tahoma"/>
      <w:sz w:val="16"/>
      <w:szCs w:val="16"/>
    </w:rPr>
  </w:style>
  <w:style w:type="paragraph" w:styleId="Header">
    <w:name w:val="header"/>
    <w:basedOn w:val="Normal"/>
    <w:link w:val="HeaderChar"/>
    <w:uiPriority w:val="99"/>
    <w:unhideWhenUsed/>
    <w:rsid w:val="00567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E5C"/>
  </w:style>
  <w:style w:type="paragraph" w:styleId="Footer">
    <w:name w:val="footer"/>
    <w:basedOn w:val="Normal"/>
    <w:link w:val="FooterChar"/>
    <w:uiPriority w:val="99"/>
    <w:unhideWhenUsed/>
    <w:rsid w:val="00567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E5C"/>
  </w:style>
  <w:style w:type="paragraph" w:styleId="CommentSubject">
    <w:name w:val="annotation subject"/>
    <w:basedOn w:val="CommentText"/>
    <w:next w:val="CommentText"/>
    <w:link w:val="CommentSubjectChar"/>
    <w:uiPriority w:val="99"/>
    <w:semiHidden/>
    <w:unhideWhenUsed/>
    <w:rsid w:val="00A13B3C"/>
    <w:rPr>
      <w:b/>
      <w:bCs/>
    </w:rPr>
  </w:style>
  <w:style w:type="character" w:customStyle="1" w:styleId="CommentSubjectChar">
    <w:name w:val="Comment Subject Char"/>
    <w:basedOn w:val="CommentTextChar"/>
    <w:link w:val="CommentSubject"/>
    <w:uiPriority w:val="99"/>
    <w:semiHidden/>
    <w:rsid w:val="00A13B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8EB"/>
    <w:pPr>
      <w:ind w:left="720"/>
      <w:contextualSpacing/>
    </w:pPr>
  </w:style>
  <w:style w:type="paragraph" w:styleId="BodyText">
    <w:name w:val="Body Text"/>
    <w:basedOn w:val="Normal"/>
    <w:link w:val="BodyTextChar"/>
    <w:semiHidden/>
    <w:rsid w:val="00D27D87"/>
    <w:pPr>
      <w:tabs>
        <w:tab w:val="left" w:pos="333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D27D87"/>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FB41A6"/>
    <w:pPr>
      <w:spacing w:after="120" w:line="480" w:lineRule="auto"/>
    </w:pPr>
  </w:style>
  <w:style w:type="character" w:customStyle="1" w:styleId="BodyText2Char">
    <w:name w:val="Body Text 2 Char"/>
    <w:basedOn w:val="DefaultParagraphFont"/>
    <w:link w:val="BodyText2"/>
    <w:uiPriority w:val="99"/>
    <w:semiHidden/>
    <w:rsid w:val="00FB41A6"/>
  </w:style>
  <w:style w:type="character" w:styleId="CommentReference">
    <w:name w:val="annotation reference"/>
    <w:basedOn w:val="DefaultParagraphFont"/>
    <w:uiPriority w:val="99"/>
    <w:semiHidden/>
    <w:unhideWhenUsed/>
    <w:rsid w:val="00047CB8"/>
    <w:rPr>
      <w:sz w:val="16"/>
      <w:szCs w:val="16"/>
    </w:rPr>
  </w:style>
  <w:style w:type="paragraph" w:styleId="CommentText">
    <w:name w:val="annotation text"/>
    <w:basedOn w:val="Normal"/>
    <w:link w:val="CommentTextChar"/>
    <w:uiPriority w:val="99"/>
    <w:semiHidden/>
    <w:unhideWhenUsed/>
    <w:rsid w:val="00047CB8"/>
    <w:pPr>
      <w:spacing w:line="240" w:lineRule="auto"/>
    </w:pPr>
    <w:rPr>
      <w:sz w:val="20"/>
      <w:szCs w:val="20"/>
    </w:rPr>
  </w:style>
  <w:style w:type="character" w:customStyle="1" w:styleId="CommentTextChar">
    <w:name w:val="Comment Text Char"/>
    <w:basedOn w:val="DefaultParagraphFont"/>
    <w:link w:val="CommentText"/>
    <w:uiPriority w:val="99"/>
    <w:semiHidden/>
    <w:rsid w:val="00047CB8"/>
    <w:rPr>
      <w:sz w:val="20"/>
      <w:szCs w:val="20"/>
    </w:rPr>
  </w:style>
  <w:style w:type="character" w:styleId="Hyperlink">
    <w:name w:val="Hyperlink"/>
    <w:basedOn w:val="DefaultParagraphFont"/>
    <w:uiPriority w:val="99"/>
    <w:unhideWhenUsed/>
    <w:rsid w:val="00047CB8"/>
    <w:rPr>
      <w:color w:val="0000FF" w:themeColor="hyperlink"/>
      <w:u w:val="single"/>
    </w:rPr>
  </w:style>
  <w:style w:type="paragraph" w:styleId="BalloonText">
    <w:name w:val="Balloon Text"/>
    <w:basedOn w:val="Normal"/>
    <w:link w:val="BalloonTextChar"/>
    <w:uiPriority w:val="99"/>
    <w:semiHidden/>
    <w:unhideWhenUsed/>
    <w:rsid w:val="00047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B8"/>
    <w:rPr>
      <w:rFonts w:ascii="Tahoma" w:hAnsi="Tahoma" w:cs="Tahoma"/>
      <w:sz w:val="16"/>
      <w:szCs w:val="16"/>
    </w:rPr>
  </w:style>
  <w:style w:type="paragraph" w:styleId="Header">
    <w:name w:val="header"/>
    <w:basedOn w:val="Normal"/>
    <w:link w:val="HeaderChar"/>
    <w:uiPriority w:val="99"/>
    <w:unhideWhenUsed/>
    <w:rsid w:val="00567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E5C"/>
  </w:style>
  <w:style w:type="paragraph" w:styleId="Footer">
    <w:name w:val="footer"/>
    <w:basedOn w:val="Normal"/>
    <w:link w:val="FooterChar"/>
    <w:uiPriority w:val="99"/>
    <w:unhideWhenUsed/>
    <w:rsid w:val="00567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E5C"/>
  </w:style>
  <w:style w:type="paragraph" w:styleId="CommentSubject">
    <w:name w:val="annotation subject"/>
    <w:basedOn w:val="CommentText"/>
    <w:next w:val="CommentText"/>
    <w:link w:val="CommentSubjectChar"/>
    <w:uiPriority w:val="99"/>
    <w:semiHidden/>
    <w:unhideWhenUsed/>
    <w:rsid w:val="00A13B3C"/>
    <w:rPr>
      <w:b/>
      <w:bCs/>
    </w:rPr>
  </w:style>
  <w:style w:type="character" w:customStyle="1" w:styleId="CommentSubjectChar">
    <w:name w:val="Comment Subject Char"/>
    <w:basedOn w:val="CommentTextChar"/>
    <w:link w:val="CommentSubject"/>
    <w:uiPriority w:val="99"/>
    <w:semiHidden/>
    <w:rsid w:val="00A13B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Gibb,Deborah</dc:creator>
  <cp:lastModifiedBy>Gibb,Deborah</cp:lastModifiedBy>
  <cp:revision>3</cp:revision>
  <cp:lastPrinted>2016-04-15T12:17:00Z</cp:lastPrinted>
  <dcterms:created xsi:type="dcterms:W3CDTF">2016-06-29T17:37:00Z</dcterms:created>
  <dcterms:modified xsi:type="dcterms:W3CDTF">2016-06-29T17:41:00Z</dcterms:modified>
</cp:coreProperties>
</file>